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3B72" w14:textId="3279EC2C" w:rsidR="00B9701D" w:rsidRPr="00FF4EF0" w:rsidRDefault="00B9701D" w:rsidP="00B9701D">
      <w:pPr>
        <w:jc w:val="center"/>
        <w:rPr>
          <w:b/>
          <w:bCs/>
          <w:color w:val="243142"/>
          <w:sz w:val="22"/>
          <w:szCs w:val="22"/>
          <w:shd w:val="clear" w:color="auto" w:fill="FFFFFF"/>
        </w:rPr>
      </w:pPr>
      <w:r w:rsidRPr="00FF4EF0">
        <w:rPr>
          <w:b/>
          <w:bCs/>
          <w:color w:val="243142"/>
          <w:sz w:val="22"/>
          <w:szCs w:val="22"/>
          <w:shd w:val="clear" w:color="auto" w:fill="FFFFFF"/>
        </w:rPr>
        <w:t>School of Liberal Arts at IU Indianapolis</w:t>
      </w:r>
    </w:p>
    <w:p w14:paraId="1B1EE146" w14:textId="38C6FA1F" w:rsidR="000C0BD5" w:rsidRPr="00FF4EF0" w:rsidRDefault="00B9701D" w:rsidP="00B9701D">
      <w:pPr>
        <w:jc w:val="center"/>
        <w:rPr>
          <w:b/>
          <w:bCs/>
          <w:color w:val="243142"/>
          <w:sz w:val="22"/>
          <w:szCs w:val="22"/>
          <w:shd w:val="clear" w:color="auto" w:fill="FFFFFF"/>
        </w:rPr>
      </w:pPr>
      <w:r w:rsidRPr="00FF4EF0">
        <w:rPr>
          <w:b/>
          <w:bCs/>
          <w:color w:val="243142"/>
          <w:sz w:val="22"/>
          <w:szCs w:val="22"/>
          <w:shd w:val="clear" w:color="auto" w:fill="FFFFFF"/>
        </w:rPr>
        <w:t>Faculty Annual Review Criteria</w:t>
      </w:r>
    </w:p>
    <w:p w14:paraId="0AB4F3E7" w14:textId="681F5E39" w:rsidR="000C0BD5" w:rsidRPr="00FF4EF0" w:rsidRDefault="003225C9" w:rsidP="000C0BD5">
      <w:pPr>
        <w:jc w:val="center"/>
        <w:rPr>
          <w:b/>
          <w:bCs/>
          <w:i/>
          <w:iCs/>
          <w:color w:val="243142"/>
          <w:sz w:val="22"/>
          <w:szCs w:val="22"/>
          <w:shd w:val="clear" w:color="auto" w:fill="FFFFFF"/>
        </w:rPr>
      </w:pPr>
      <w:r>
        <w:rPr>
          <w:b/>
          <w:bCs/>
          <w:i/>
          <w:iCs/>
          <w:color w:val="243142"/>
          <w:sz w:val="22"/>
          <w:szCs w:val="22"/>
          <w:shd w:val="clear" w:color="auto" w:fill="FFFFFF"/>
        </w:rPr>
        <w:t>Non-</w:t>
      </w:r>
      <w:r w:rsidR="00B9701D" w:rsidRPr="00FF4EF0">
        <w:rPr>
          <w:b/>
          <w:bCs/>
          <w:i/>
          <w:iCs/>
          <w:color w:val="243142"/>
          <w:sz w:val="22"/>
          <w:szCs w:val="22"/>
          <w:shd w:val="clear" w:color="auto" w:fill="FFFFFF"/>
        </w:rPr>
        <w:t>Tenure-Line Faculty</w:t>
      </w:r>
    </w:p>
    <w:p w14:paraId="2804C95D" w14:textId="77777777" w:rsidR="00547C31" w:rsidRPr="0034310A" w:rsidRDefault="00547C31" w:rsidP="00547C31">
      <w:pPr>
        <w:jc w:val="center"/>
        <w:rPr>
          <w:color w:val="243142"/>
          <w:sz w:val="20"/>
          <w:szCs w:val="20"/>
          <w:shd w:val="clear" w:color="auto" w:fill="FFFFFF"/>
        </w:rPr>
      </w:pPr>
      <w:r>
        <w:rPr>
          <w:color w:val="243142"/>
          <w:sz w:val="20"/>
          <w:szCs w:val="20"/>
          <w:shd w:val="clear" w:color="auto" w:fill="FFFFFF"/>
        </w:rPr>
        <w:t>Endorsed by Faculty Assembly November 14, 2025</w:t>
      </w:r>
    </w:p>
    <w:p w14:paraId="6EB63024" w14:textId="77777777" w:rsidR="00B9701D" w:rsidRPr="00FF4EF0" w:rsidRDefault="00B9701D" w:rsidP="000C0BD5">
      <w:pPr>
        <w:jc w:val="center"/>
        <w:rPr>
          <w:b/>
          <w:bCs/>
          <w:color w:val="243142"/>
          <w:sz w:val="22"/>
          <w:szCs w:val="22"/>
          <w:shd w:val="clear" w:color="auto" w:fill="FFFFFF"/>
        </w:rPr>
      </w:pPr>
    </w:p>
    <w:p w14:paraId="007A61AE" w14:textId="6E321203" w:rsidR="004E5169" w:rsidRPr="00FF4EF0" w:rsidRDefault="000C0BD5" w:rsidP="004E5169">
      <w:pPr>
        <w:rPr>
          <w:color w:val="243142"/>
          <w:sz w:val="22"/>
          <w:szCs w:val="22"/>
          <w:shd w:val="clear" w:color="auto" w:fill="FFFFFF"/>
        </w:rPr>
      </w:pPr>
      <w:r w:rsidRPr="00FF4EF0">
        <w:rPr>
          <w:color w:val="243142"/>
          <w:sz w:val="22"/>
          <w:szCs w:val="22"/>
          <w:shd w:val="clear" w:color="auto" w:fill="FFFFFF"/>
        </w:rPr>
        <w:t xml:space="preserve">All </w:t>
      </w:r>
      <w:r w:rsidR="003225C9">
        <w:rPr>
          <w:color w:val="243142"/>
          <w:sz w:val="22"/>
          <w:szCs w:val="22"/>
          <w:shd w:val="clear" w:color="auto" w:fill="FFFFFF"/>
        </w:rPr>
        <w:t>non-</w:t>
      </w:r>
      <w:r w:rsidRPr="00FF4EF0">
        <w:rPr>
          <w:color w:val="243142"/>
          <w:sz w:val="22"/>
          <w:szCs w:val="22"/>
          <w:shd w:val="clear" w:color="auto" w:fill="FFFFFF"/>
        </w:rPr>
        <w:t>tenure-line faculty have responsibilities in the areas of teaching</w:t>
      </w:r>
      <w:r w:rsidR="003225C9">
        <w:rPr>
          <w:color w:val="243142"/>
          <w:sz w:val="22"/>
          <w:szCs w:val="22"/>
          <w:shd w:val="clear" w:color="auto" w:fill="FFFFFF"/>
        </w:rPr>
        <w:t xml:space="preserve"> </w:t>
      </w:r>
      <w:r w:rsidRPr="00FF4EF0">
        <w:rPr>
          <w:color w:val="243142"/>
          <w:sz w:val="22"/>
          <w:szCs w:val="22"/>
          <w:shd w:val="clear" w:color="auto" w:fill="FFFFFF"/>
        </w:rPr>
        <w:t xml:space="preserve">and service. </w:t>
      </w:r>
      <w:r w:rsidR="00C36300" w:rsidRPr="00FF4EF0">
        <w:rPr>
          <w:color w:val="243142"/>
          <w:sz w:val="22"/>
          <w:szCs w:val="22"/>
          <w:shd w:val="clear" w:color="auto" w:fill="FFFFFF"/>
        </w:rPr>
        <w:t xml:space="preserve"> </w:t>
      </w:r>
      <w:r w:rsidR="009C72D4">
        <w:rPr>
          <w:color w:val="243142"/>
          <w:sz w:val="22"/>
          <w:szCs w:val="22"/>
          <w:shd w:val="clear" w:color="auto" w:fill="FFFFFF"/>
        </w:rPr>
        <w:t xml:space="preserve">In keeping with IU Policy </w:t>
      </w:r>
      <w:hyperlink r:id="rId10" w:history="1">
        <w:r w:rsidR="009C72D4" w:rsidRPr="001775EA">
          <w:rPr>
            <w:rStyle w:val="Hyperlink"/>
            <w:sz w:val="22"/>
            <w:szCs w:val="22"/>
            <w:shd w:val="clear" w:color="auto" w:fill="FFFFFF"/>
          </w:rPr>
          <w:t>BOT-24: Post-Tenure Faculty Productivity and Annual Review</w:t>
        </w:r>
      </w:hyperlink>
      <w:r w:rsidR="009C72D4">
        <w:rPr>
          <w:color w:val="243142"/>
          <w:sz w:val="22"/>
          <w:szCs w:val="22"/>
          <w:shd w:val="clear" w:color="auto" w:fill="FFFFFF"/>
        </w:rPr>
        <w:t>, t</w:t>
      </w:r>
      <w:r w:rsidR="00767E15" w:rsidRPr="00FF4EF0">
        <w:rPr>
          <w:color w:val="243142"/>
          <w:sz w:val="22"/>
          <w:szCs w:val="22"/>
          <w:shd w:val="clear" w:color="auto" w:fill="FFFFFF"/>
        </w:rPr>
        <w:t>h</w:t>
      </w:r>
      <w:r w:rsidR="00F127B3" w:rsidRPr="00FF4EF0">
        <w:rPr>
          <w:color w:val="243142"/>
          <w:sz w:val="22"/>
          <w:szCs w:val="22"/>
          <w:shd w:val="clear" w:color="auto" w:fill="FFFFFF"/>
        </w:rPr>
        <w:t xml:space="preserve">is document outlines the School criteria to “meet” expectations in </w:t>
      </w:r>
      <w:r w:rsidR="003225C9">
        <w:rPr>
          <w:color w:val="243142"/>
          <w:sz w:val="22"/>
          <w:szCs w:val="22"/>
          <w:shd w:val="clear" w:color="auto" w:fill="FFFFFF"/>
        </w:rPr>
        <w:t>both</w:t>
      </w:r>
      <w:r w:rsidR="00F127B3" w:rsidRPr="00FF4EF0">
        <w:rPr>
          <w:color w:val="243142"/>
          <w:sz w:val="22"/>
          <w:szCs w:val="22"/>
          <w:shd w:val="clear" w:color="auto" w:fill="FFFFFF"/>
        </w:rPr>
        <w:t xml:space="preserve"> of these areas of responsibility.  </w:t>
      </w:r>
      <w:r w:rsidR="004E5169" w:rsidRPr="00FF4EF0">
        <w:rPr>
          <w:color w:val="243142"/>
          <w:sz w:val="22"/>
          <w:szCs w:val="22"/>
          <w:shd w:val="clear" w:color="auto" w:fill="FFFFFF"/>
        </w:rPr>
        <w:t xml:space="preserve">Departments </w:t>
      </w:r>
      <w:r w:rsidR="004E5169">
        <w:rPr>
          <w:color w:val="243142"/>
          <w:sz w:val="22"/>
          <w:szCs w:val="22"/>
          <w:shd w:val="clear" w:color="auto" w:fill="FFFFFF"/>
        </w:rPr>
        <w:t>should</w:t>
      </w:r>
      <w:r w:rsidR="004E5169" w:rsidRPr="00FF4EF0">
        <w:rPr>
          <w:color w:val="243142"/>
          <w:sz w:val="22"/>
          <w:szCs w:val="22"/>
          <w:shd w:val="clear" w:color="auto" w:fill="FFFFFF"/>
        </w:rPr>
        <w:t xml:space="preserve"> add specificity to these criteria that are appropriate for their disciplines</w:t>
      </w:r>
      <w:r w:rsidR="00AC3DF4" w:rsidRPr="00AC3DF4">
        <w:rPr>
          <w:color w:val="243142"/>
          <w:sz w:val="22"/>
          <w:szCs w:val="22"/>
          <w:shd w:val="clear" w:color="auto" w:fill="FFFFFF"/>
        </w:rPr>
        <w:t xml:space="preserve"> </w:t>
      </w:r>
      <w:proofErr w:type="gramStart"/>
      <w:r w:rsidR="00AC3DF4">
        <w:rPr>
          <w:color w:val="243142"/>
          <w:sz w:val="22"/>
          <w:szCs w:val="22"/>
          <w:shd w:val="clear" w:color="auto" w:fill="FFFFFF"/>
        </w:rPr>
        <w:t>At</w:t>
      </w:r>
      <w:proofErr w:type="gramEnd"/>
      <w:r w:rsidR="00AC3DF4">
        <w:rPr>
          <w:color w:val="243142"/>
          <w:sz w:val="22"/>
          <w:szCs w:val="22"/>
          <w:shd w:val="clear" w:color="auto" w:fill="FFFFFF"/>
        </w:rPr>
        <w:t xml:space="preserve"> the time of Annual Review, these criteria should be used by peer-review committees (if established by the department), chairs, and the dean.</w:t>
      </w:r>
    </w:p>
    <w:p w14:paraId="5526B625" w14:textId="7201FB24" w:rsidR="00494FE1" w:rsidRPr="00FF4EF0" w:rsidRDefault="00494FE1" w:rsidP="00767E15">
      <w:pPr>
        <w:rPr>
          <w:color w:val="243142"/>
          <w:sz w:val="22"/>
          <w:szCs w:val="22"/>
          <w:shd w:val="clear" w:color="auto" w:fill="FFFFFF"/>
        </w:rPr>
      </w:pPr>
    </w:p>
    <w:p w14:paraId="771A1DB7" w14:textId="024DBF10" w:rsidR="00D947AF" w:rsidRPr="00FF4EF0" w:rsidRDefault="00D947AF" w:rsidP="000C0BD5">
      <w:pPr>
        <w:rPr>
          <w:color w:val="243142"/>
          <w:sz w:val="22"/>
          <w:szCs w:val="22"/>
          <w:shd w:val="clear" w:color="auto" w:fill="FFFFFF"/>
        </w:rPr>
      </w:pPr>
      <w:r w:rsidRPr="00FF4EF0">
        <w:rPr>
          <w:color w:val="243142"/>
          <w:sz w:val="22"/>
          <w:szCs w:val="22"/>
          <w:shd w:val="clear" w:color="auto" w:fill="FFFFFF"/>
        </w:rPr>
        <w:t>The standard workload distribution</w:t>
      </w:r>
      <w:r w:rsidR="003225C9">
        <w:rPr>
          <w:color w:val="243142"/>
          <w:sz w:val="22"/>
          <w:szCs w:val="22"/>
          <w:shd w:val="clear" w:color="auto" w:fill="FFFFFF"/>
        </w:rPr>
        <w:t>s</w:t>
      </w:r>
      <w:r w:rsidRPr="00FF4EF0">
        <w:rPr>
          <w:color w:val="243142"/>
          <w:sz w:val="22"/>
          <w:szCs w:val="22"/>
          <w:shd w:val="clear" w:color="auto" w:fill="FFFFFF"/>
        </w:rPr>
        <w:t xml:space="preserve"> for </w:t>
      </w:r>
      <w:r w:rsidR="003225C9">
        <w:rPr>
          <w:color w:val="243142"/>
          <w:sz w:val="22"/>
          <w:szCs w:val="22"/>
          <w:shd w:val="clear" w:color="auto" w:fill="FFFFFF"/>
        </w:rPr>
        <w:t>non-</w:t>
      </w:r>
      <w:r w:rsidRPr="00FF4EF0">
        <w:rPr>
          <w:color w:val="243142"/>
          <w:sz w:val="22"/>
          <w:szCs w:val="22"/>
          <w:shd w:val="clear" w:color="auto" w:fill="FFFFFF"/>
        </w:rPr>
        <w:t xml:space="preserve">tenure-line faculty </w:t>
      </w:r>
      <w:r w:rsidR="000727D5" w:rsidRPr="00FF4EF0">
        <w:rPr>
          <w:color w:val="243142"/>
          <w:sz w:val="22"/>
          <w:szCs w:val="22"/>
          <w:shd w:val="clear" w:color="auto" w:fill="FFFFFF"/>
        </w:rPr>
        <w:t xml:space="preserve">on 10-month appointments </w:t>
      </w:r>
      <w:r w:rsidR="003225C9">
        <w:rPr>
          <w:color w:val="243142"/>
          <w:sz w:val="22"/>
          <w:szCs w:val="22"/>
          <w:shd w:val="clear" w:color="auto" w:fill="FFFFFF"/>
        </w:rPr>
        <w:t>are</w:t>
      </w:r>
      <w:r w:rsidR="0050455C" w:rsidRPr="00FF4EF0">
        <w:rPr>
          <w:color w:val="243142"/>
          <w:sz w:val="22"/>
          <w:szCs w:val="22"/>
          <w:shd w:val="clear" w:color="auto" w:fill="FFFFFF"/>
        </w:rPr>
        <w:t>:</w:t>
      </w:r>
    </w:p>
    <w:tbl>
      <w:tblPr>
        <w:tblW w:w="5310" w:type="dxa"/>
        <w:jc w:val="center"/>
        <w:tblLook w:val="04A0" w:firstRow="1" w:lastRow="0" w:firstColumn="1" w:lastColumn="0" w:noHBand="0" w:noVBand="1"/>
      </w:tblPr>
      <w:tblGrid>
        <w:gridCol w:w="1439"/>
        <w:gridCol w:w="1809"/>
        <w:gridCol w:w="2062"/>
      </w:tblGrid>
      <w:tr w:rsidR="00D947AF" w:rsidRPr="00FF4EF0" w14:paraId="69A5C55B" w14:textId="77777777" w:rsidTr="6F307234">
        <w:trPr>
          <w:jc w:val="center"/>
        </w:trPr>
        <w:tc>
          <w:tcPr>
            <w:tcW w:w="1439" w:type="dxa"/>
            <w:tcBorders>
              <w:top w:val="nil"/>
              <w:left w:val="nil"/>
              <w:bottom w:val="nil"/>
              <w:right w:val="nil"/>
            </w:tcBorders>
            <w:noWrap/>
            <w:vAlign w:val="center"/>
            <w:hideMark/>
          </w:tcPr>
          <w:p w14:paraId="6B9F2004" w14:textId="77777777" w:rsidR="00D947AF" w:rsidRPr="00FF4EF0" w:rsidRDefault="00D947AF">
            <w:pPr>
              <w:jc w:val="center"/>
              <w:rPr>
                <w:b/>
                <w:bCs/>
                <w:color w:val="000000"/>
                <w:sz w:val="22"/>
                <w:szCs w:val="22"/>
              </w:rPr>
            </w:pPr>
          </w:p>
        </w:tc>
        <w:tc>
          <w:tcPr>
            <w:tcW w:w="1809" w:type="dxa"/>
            <w:tcBorders>
              <w:top w:val="single" w:sz="8" w:space="0" w:color="auto"/>
              <w:left w:val="single" w:sz="8" w:space="0" w:color="auto"/>
              <w:bottom w:val="single" w:sz="4" w:space="0" w:color="auto"/>
              <w:right w:val="single" w:sz="4" w:space="0" w:color="auto"/>
            </w:tcBorders>
            <w:noWrap/>
            <w:vAlign w:val="center"/>
            <w:hideMark/>
          </w:tcPr>
          <w:p w14:paraId="529C23ED" w14:textId="3CF93057" w:rsidR="00D947AF" w:rsidRPr="00FF4EF0" w:rsidRDefault="6742D7AC" w:rsidP="6F307234">
            <w:pPr>
              <w:spacing w:line="259" w:lineRule="auto"/>
              <w:jc w:val="center"/>
              <w:rPr>
                <w:i/>
                <w:iCs/>
                <w:color w:val="000000" w:themeColor="text1"/>
                <w:sz w:val="22"/>
                <w:szCs w:val="22"/>
              </w:rPr>
            </w:pPr>
            <w:r w:rsidRPr="6F307234">
              <w:rPr>
                <w:i/>
                <w:iCs/>
                <w:color w:val="000000" w:themeColor="text1"/>
                <w:sz w:val="22"/>
                <w:szCs w:val="22"/>
              </w:rPr>
              <w:t>Non-Tenure Track Lines</w:t>
            </w:r>
          </w:p>
        </w:tc>
        <w:tc>
          <w:tcPr>
            <w:tcW w:w="2062" w:type="dxa"/>
            <w:tcBorders>
              <w:top w:val="single" w:sz="8" w:space="0" w:color="auto"/>
              <w:left w:val="nil"/>
              <w:bottom w:val="single" w:sz="4" w:space="0" w:color="auto"/>
              <w:right w:val="single" w:sz="8" w:space="0" w:color="auto"/>
            </w:tcBorders>
            <w:vAlign w:val="center"/>
            <w:hideMark/>
          </w:tcPr>
          <w:p w14:paraId="4B1B1948" w14:textId="18198D15" w:rsidR="00D947AF" w:rsidRPr="00FF4EF0" w:rsidRDefault="005D7BFE">
            <w:pPr>
              <w:jc w:val="center"/>
              <w:rPr>
                <w:i/>
                <w:iCs/>
                <w:color w:val="000000"/>
                <w:sz w:val="22"/>
                <w:szCs w:val="22"/>
              </w:rPr>
            </w:pPr>
            <w:r>
              <w:rPr>
                <w:i/>
                <w:iCs/>
                <w:color w:val="000000"/>
                <w:sz w:val="22"/>
                <w:szCs w:val="22"/>
              </w:rPr>
              <w:t>Clinical Line w/</w:t>
            </w:r>
            <w:r w:rsidR="001E76A9">
              <w:rPr>
                <w:i/>
                <w:iCs/>
                <w:color w:val="000000"/>
                <w:sz w:val="22"/>
                <w:szCs w:val="22"/>
              </w:rPr>
              <w:t xml:space="preserve"> Clinical Assignment</w:t>
            </w:r>
          </w:p>
        </w:tc>
      </w:tr>
      <w:tr w:rsidR="00B70C0A" w:rsidRPr="00FF4EF0" w14:paraId="5B19BFC4" w14:textId="77777777" w:rsidTr="6F307234">
        <w:trPr>
          <w:trHeight w:val="320"/>
          <w:jc w:val="center"/>
        </w:trPr>
        <w:tc>
          <w:tcPr>
            <w:tcW w:w="1439" w:type="dxa"/>
            <w:tcBorders>
              <w:top w:val="single" w:sz="4" w:space="0" w:color="auto"/>
              <w:left w:val="single" w:sz="4" w:space="0" w:color="auto"/>
              <w:bottom w:val="single" w:sz="4" w:space="0" w:color="auto"/>
              <w:right w:val="nil"/>
            </w:tcBorders>
            <w:noWrap/>
            <w:vAlign w:val="bottom"/>
            <w:hideMark/>
          </w:tcPr>
          <w:p w14:paraId="17912AF9" w14:textId="088ABD23" w:rsidR="00B70C0A" w:rsidRPr="00FF4EF0" w:rsidRDefault="0018766F" w:rsidP="00B70C0A">
            <w:pPr>
              <w:rPr>
                <w:b/>
                <w:bCs/>
                <w:color w:val="000000"/>
                <w:sz w:val="22"/>
                <w:szCs w:val="22"/>
              </w:rPr>
            </w:pPr>
            <w:r w:rsidRPr="00FF4EF0">
              <w:rPr>
                <w:b/>
                <w:bCs/>
                <w:color w:val="000000"/>
                <w:sz w:val="22"/>
                <w:szCs w:val="22"/>
              </w:rPr>
              <w:t xml:space="preserve">TEACHING </w:t>
            </w:r>
          </w:p>
        </w:tc>
        <w:tc>
          <w:tcPr>
            <w:tcW w:w="1809" w:type="dxa"/>
            <w:tcBorders>
              <w:top w:val="nil"/>
              <w:left w:val="single" w:sz="8" w:space="0" w:color="auto"/>
              <w:bottom w:val="single" w:sz="4" w:space="0" w:color="auto"/>
              <w:right w:val="single" w:sz="4" w:space="0" w:color="auto"/>
            </w:tcBorders>
            <w:noWrap/>
            <w:vAlign w:val="bottom"/>
            <w:hideMark/>
          </w:tcPr>
          <w:p w14:paraId="372A500D" w14:textId="7C024407" w:rsidR="00B70C0A" w:rsidRPr="00FF4EF0" w:rsidRDefault="00A82FA6" w:rsidP="00B70C0A">
            <w:pPr>
              <w:jc w:val="center"/>
              <w:rPr>
                <w:color w:val="000000"/>
                <w:sz w:val="22"/>
                <w:szCs w:val="22"/>
              </w:rPr>
            </w:pPr>
            <w:r>
              <w:rPr>
                <w:color w:val="000000"/>
                <w:sz w:val="22"/>
                <w:szCs w:val="22"/>
              </w:rPr>
              <w:t>8</w:t>
            </w:r>
            <w:r w:rsidR="00B70C0A" w:rsidRPr="00FF4EF0">
              <w:rPr>
                <w:color w:val="000000"/>
                <w:sz w:val="22"/>
                <w:szCs w:val="22"/>
              </w:rPr>
              <w:t>0%</w:t>
            </w:r>
          </w:p>
        </w:tc>
        <w:tc>
          <w:tcPr>
            <w:tcW w:w="2062" w:type="dxa"/>
            <w:tcBorders>
              <w:top w:val="nil"/>
              <w:left w:val="nil"/>
              <w:bottom w:val="single" w:sz="4" w:space="0" w:color="auto"/>
              <w:right w:val="single" w:sz="8" w:space="0" w:color="auto"/>
            </w:tcBorders>
            <w:noWrap/>
            <w:vAlign w:val="bottom"/>
            <w:hideMark/>
          </w:tcPr>
          <w:p w14:paraId="6D4DC209" w14:textId="2D9C8407" w:rsidR="00B70C0A" w:rsidRPr="00FF4EF0" w:rsidRDefault="00A82FA6" w:rsidP="00B70C0A">
            <w:pPr>
              <w:jc w:val="center"/>
              <w:rPr>
                <w:color w:val="000000"/>
                <w:sz w:val="22"/>
                <w:szCs w:val="22"/>
              </w:rPr>
            </w:pPr>
            <w:r>
              <w:rPr>
                <w:color w:val="000000"/>
                <w:sz w:val="22"/>
                <w:szCs w:val="22"/>
              </w:rPr>
              <w:t>6</w:t>
            </w:r>
            <w:r w:rsidR="00B70C0A" w:rsidRPr="00FF4EF0">
              <w:rPr>
                <w:color w:val="000000"/>
                <w:sz w:val="22"/>
                <w:szCs w:val="22"/>
              </w:rPr>
              <w:t>0%</w:t>
            </w:r>
            <w:r>
              <w:rPr>
                <w:color w:val="000000"/>
                <w:sz w:val="22"/>
                <w:szCs w:val="22"/>
              </w:rPr>
              <w:t xml:space="preserve"> - 70%</w:t>
            </w:r>
          </w:p>
        </w:tc>
      </w:tr>
      <w:tr w:rsidR="00B70C0A" w:rsidRPr="00FF4EF0" w14:paraId="2857C6B2" w14:textId="77777777" w:rsidTr="6F307234">
        <w:trPr>
          <w:trHeight w:val="320"/>
          <w:jc w:val="center"/>
        </w:trPr>
        <w:tc>
          <w:tcPr>
            <w:tcW w:w="1439" w:type="dxa"/>
            <w:tcBorders>
              <w:top w:val="nil"/>
              <w:left w:val="single" w:sz="4" w:space="0" w:color="auto"/>
              <w:bottom w:val="single" w:sz="4" w:space="0" w:color="auto"/>
              <w:right w:val="nil"/>
            </w:tcBorders>
            <w:noWrap/>
            <w:vAlign w:val="bottom"/>
            <w:hideMark/>
          </w:tcPr>
          <w:p w14:paraId="3FC0DBA1" w14:textId="77777777" w:rsidR="00B70C0A" w:rsidRPr="00FF4EF0" w:rsidRDefault="00B70C0A" w:rsidP="00B70C0A">
            <w:pPr>
              <w:rPr>
                <w:b/>
                <w:bCs/>
                <w:color w:val="000000"/>
                <w:sz w:val="22"/>
                <w:szCs w:val="22"/>
              </w:rPr>
            </w:pPr>
            <w:r w:rsidRPr="00FF4EF0">
              <w:rPr>
                <w:b/>
                <w:bCs/>
                <w:color w:val="000000"/>
                <w:sz w:val="22"/>
                <w:szCs w:val="22"/>
              </w:rPr>
              <w:t>SERVICE</w:t>
            </w:r>
          </w:p>
        </w:tc>
        <w:tc>
          <w:tcPr>
            <w:tcW w:w="1809" w:type="dxa"/>
            <w:tcBorders>
              <w:top w:val="nil"/>
              <w:left w:val="single" w:sz="8" w:space="0" w:color="auto"/>
              <w:bottom w:val="single" w:sz="4" w:space="0" w:color="auto"/>
              <w:right w:val="single" w:sz="4" w:space="0" w:color="auto"/>
            </w:tcBorders>
            <w:noWrap/>
            <w:vAlign w:val="bottom"/>
            <w:hideMark/>
          </w:tcPr>
          <w:p w14:paraId="64B69670" w14:textId="77777777" w:rsidR="00B70C0A" w:rsidRPr="00FF4EF0" w:rsidRDefault="00B70C0A" w:rsidP="00B70C0A">
            <w:pPr>
              <w:jc w:val="center"/>
              <w:rPr>
                <w:color w:val="000000"/>
                <w:sz w:val="22"/>
                <w:szCs w:val="22"/>
              </w:rPr>
            </w:pPr>
            <w:r w:rsidRPr="00FF4EF0">
              <w:rPr>
                <w:color w:val="000000"/>
                <w:sz w:val="22"/>
                <w:szCs w:val="22"/>
              </w:rPr>
              <w:t>20%</w:t>
            </w:r>
          </w:p>
        </w:tc>
        <w:tc>
          <w:tcPr>
            <w:tcW w:w="2062" w:type="dxa"/>
            <w:tcBorders>
              <w:top w:val="nil"/>
              <w:left w:val="nil"/>
              <w:bottom w:val="single" w:sz="4" w:space="0" w:color="auto"/>
              <w:right w:val="single" w:sz="8" w:space="0" w:color="auto"/>
            </w:tcBorders>
            <w:noWrap/>
            <w:vAlign w:val="bottom"/>
            <w:hideMark/>
          </w:tcPr>
          <w:p w14:paraId="4BB6368E" w14:textId="344406BF" w:rsidR="00B70C0A" w:rsidRPr="00FF4EF0" w:rsidRDefault="00A82FA6" w:rsidP="00B70C0A">
            <w:pPr>
              <w:jc w:val="center"/>
              <w:rPr>
                <w:color w:val="000000"/>
                <w:sz w:val="22"/>
                <w:szCs w:val="22"/>
              </w:rPr>
            </w:pPr>
            <w:r>
              <w:rPr>
                <w:color w:val="000000"/>
                <w:sz w:val="22"/>
                <w:szCs w:val="22"/>
              </w:rPr>
              <w:t>3</w:t>
            </w:r>
            <w:r w:rsidR="00B70C0A" w:rsidRPr="00FF4EF0">
              <w:rPr>
                <w:color w:val="000000"/>
                <w:sz w:val="22"/>
                <w:szCs w:val="22"/>
              </w:rPr>
              <w:t>0%</w:t>
            </w:r>
            <w:r>
              <w:rPr>
                <w:color w:val="000000"/>
                <w:sz w:val="22"/>
                <w:szCs w:val="22"/>
              </w:rPr>
              <w:t xml:space="preserve"> - 40%</w:t>
            </w:r>
          </w:p>
        </w:tc>
      </w:tr>
    </w:tbl>
    <w:p w14:paraId="4FA0B748" w14:textId="77777777" w:rsidR="000C0BD5" w:rsidRPr="00FF4EF0" w:rsidRDefault="000C0BD5" w:rsidP="000C0BD5">
      <w:pPr>
        <w:rPr>
          <w:b/>
          <w:bCs/>
          <w:color w:val="243142"/>
          <w:sz w:val="22"/>
          <w:szCs w:val="22"/>
          <w:shd w:val="clear" w:color="auto" w:fill="FFFFFF"/>
        </w:rPr>
      </w:pPr>
    </w:p>
    <w:p w14:paraId="7E92D070" w14:textId="6823A3B3" w:rsidR="001B745E" w:rsidRPr="00FF4EF0" w:rsidRDefault="00D231F1" w:rsidP="000C0BD5">
      <w:pPr>
        <w:rPr>
          <w:b/>
          <w:bCs/>
          <w:color w:val="243142"/>
          <w:sz w:val="22"/>
          <w:szCs w:val="22"/>
          <w:shd w:val="clear" w:color="auto" w:fill="FFFFFF"/>
        </w:rPr>
      </w:pPr>
      <w:r w:rsidRPr="00FF4EF0">
        <w:rPr>
          <w:color w:val="243142"/>
          <w:sz w:val="22"/>
          <w:szCs w:val="22"/>
          <w:shd w:val="clear" w:color="auto" w:fill="FFFFFF"/>
        </w:rPr>
        <w:t xml:space="preserve">These distributions may change with grant awards, administrative appointments, and other buyouts of time/effort, </w:t>
      </w:r>
      <w:r w:rsidR="006217EF" w:rsidRPr="00FF4EF0">
        <w:rPr>
          <w:color w:val="243142"/>
          <w:sz w:val="22"/>
          <w:szCs w:val="22"/>
          <w:shd w:val="clear" w:color="auto" w:fill="FFFFFF"/>
        </w:rPr>
        <w:t xml:space="preserve">but in all cases any changes </w:t>
      </w:r>
      <w:r w:rsidR="006217EF">
        <w:rPr>
          <w:color w:val="243142"/>
          <w:sz w:val="22"/>
          <w:szCs w:val="22"/>
          <w:shd w:val="clear" w:color="auto" w:fill="FFFFFF"/>
        </w:rPr>
        <w:t xml:space="preserve">from the standard workload distributions </w:t>
      </w:r>
      <w:r w:rsidR="006217EF" w:rsidRPr="00FF4EF0">
        <w:rPr>
          <w:color w:val="243142"/>
          <w:sz w:val="22"/>
          <w:szCs w:val="22"/>
          <w:shd w:val="clear" w:color="auto" w:fill="FFFFFF"/>
        </w:rPr>
        <w:t xml:space="preserve">must be </w:t>
      </w:r>
      <w:r w:rsidR="006217EF">
        <w:rPr>
          <w:color w:val="243142"/>
          <w:sz w:val="22"/>
          <w:szCs w:val="22"/>
          <w:shd w:val="clear" w:color="auto" w:fill="FFFFFF"/>
        </w:rPr>
        <w:t xml:space="preserve">approved and </w:t>
      </w:r>
      <w:r w:rsidR="006217EF" w:rsidRPr="00FF4EF0">
        <w:rPr>
          <w:color w:val="243142"/>
          <w:sz w:val="22"/>
          <w:szCs w:val="22"/>
          <w:shd w:val="clear" w:color="auto" w:fill="FFFFFF"/>
        </w:rPr>
        <w:t xml:space="preserve">documented on the faculty annual review.  </w:t>
      </w:r>
    </w:p>
    <w:p w14:paraId="74F0CE3C" w14:textId="77777777" w:rsidR="001B745E" w:rsidRPr="00FF4EF0" w:rsidRDefault="001B745E" w:rsidP="000C0BD5">
      <w:pPr>
        <w:rPr>
          <w:b/>
          <w:bCs/>
          <w:color w:val="243142"/>
          <w:sz w:val="22"/>
          <w:szCs w:val="22"/>
          <w:shd w:val="clear" w:color="auto" w:fill="FFFFFF"/>
        </w:rPr>
      </w:pPr>
    </w:p>
    <w:p w14:paraId="1A3FBA20" w14:textId="77777777" w:rsidR="00B055BD" w:rsidRPr="00FF4EF0" w:rsidRDefault="00B055BD" w:rsidP="00B055BD">
      <w:pPr>
        <w:rPr>
          <w:b/>
          <w:bCs/>
          <w:color w:val="243142"/>
          <w:sz w:val="28"/>
          <w:szCs w:val="28"/>
          <w:shd w:val="clear" w:color="auto" w:fill="FFFFFF"/>
        </w:rPr>
      </w:pPr>
      <w:r w:rsidRPr="00FF4EF0">
        <w:rPr>
          <w:b/>
          <w:bCs/>
          <w:color w:val="243142"/>
          <w:sz w:val="28"/>
          <w:szCs w:val="28"/>
          <w:shd w:val="clear" w:color="auto" w:fill="FFFFFF"/>
        </w:rPr>
        <w:t>Teaching</w:t>
      </w:r>
    </w:p>
    <w:p w14:paraId="19D41945" w14:textId="77777777" w:rsidR="00B055BD" w:rsidRPr="00FF4EF0" w:rsidRDefault="00B055BD" w:rsidP="00B055BD">
      <w:pPr>
        <w:autoSpaceDE w:val="0"/>
        <w:autoSpaceDN w:val="0"/>
        <w:adjustRightInd w:val="0"/>
        <w:rPr>
          <w:color w:val="0A0A0A"/>
          <w:sz w:val="22"/>
          <w:szCs w:val="22"/>
        </w:rPr>
      </w:pPr>
      <w:r w:rsidRPr="00FF4EF0">
        <w:rPr>
          <w:b/>
          <w:bCs/>
          <w:i/>
          <w:iCs/>
          <w:color w:val="0A0A0A"/>
          <w:sz w:val="22"/>
          <w:szCs w:val="22"/>
        </w:rPr>
        <w:t xml:space="preserve">Teaching that </w:t>
      </w:r>
      <w:r w:rsidRPr="00FF4EF0">
        <w:rPr>
          <w:b/>
          <w:bCs/>
          <w:i/>
          <w:iCs/>
          <w:color w:val="0A0A0A"/>
          <w:sz w:val="22"/>
          <w:szCs w:val="22"/>
          <w:u w:val="single"/>
        </w:rPr>
        <w:t>meets</w:t>
      </w:r>
      <w:r w:rsidRPr="00FF4EF0">
        <w:rPr>
          <w:b/>
          <w:bCs/>
          <w:i/>
          <w:iCs/>
          <w:color w:val="0A0A0A"/>
          <w:sz w:val="22"/>
          <w:szCs w:val="22"/>
        </w:rPr>
        <w:t xml:space="preserve"> </w:t>
      </w:r>
      <w:r>
        <w:rPr>
          <w:b/>
          <w:bCs/>
          <w:i/>
          <w:iCs/>
          <w:color w:val="0A0A0A"/>
          <w:sz w:val="22"/>
          <w:szCs w:val="22"/>
        </w:rPr>
        <w:t xml:space="preserve">productivity </w:t>
      </w:r>
      <w:r w:rsidRPr="00FF4EF0">
        <w:rPr>
          <w:b/>
          <w:bCs/>
          <w:i/>
          <w:iCs/>
          <w:color w:val="0A0A0A"/>
          <w:sz w:val="22"/>
          <w:szCs w:val="22"/>
        </w:rPr>
        <w:t>expectations:</w:t>
      </w:r>
    </w:p>
    <w:p w14:paraId="78DA3604" w14:textId="77777777" w:rsidR="00B055BD" w:rsidRPr="00E0139B" w:rsidRDefault="00B055BD" w:rsidP="00B055BD">
      <w:pPr>
        <w:pStyle w:val="ListParagraph"/>
        <w:numPr>
          <w:ilvl w:val="0"/>
          <w:numId w:val="4"/>
        </w:numPr>
        <w:autoSpaceDE w:val="0"/>
        <w:autoSpaceDN w:val="0"/>
        <w:adjustRightInd w:val="0"/>
        <w:rPr>
          <w:color w:val="0A0A0A"/>
          <w:sz w:val="22"/>
          <w:szCs w:val="22"/>
        </w:rPr>
      </w:pPr>
      <w:r>
        <w:rPr>
          <w:color w:val="0A0A0A"/>
          <w:sz w:val="22"/>
          <w:szCs w:val="22"/>
        </w:rPr>
        <w:t>Teach all classes as assigned and as expected for one’s appointment.</w:t>
      </w:r>
    </w:p>
    <w:p w14:paraId="6657425E" w14:textId="0F4719DA" w:rsidR="00B055BD" w:rsidRPr="00FF4EF0" w:rsidRDefault="00B055BD" w:rsidP="00B055BD">
      <w:pPr>
        <w:pStyle w:val="ListParagraph"/>
        <w:numPr>
          <w:ilvl w:val="0"/>
          <w:numId w:val="4"/>
        </w:numPr>
        <w:autoSpaceDE w:val="0"/>
        <w:autoSpaceDN w:val="0"/>
        <w:adjustRightInd w:val="0"/>
        <w:rPr>
          <w:color w:val="0A0A0A"/>
          <w:sz w:val="22"/>
          <w:szCs w:val="22"/>
        </w:rPr>
      </w:pPr>
      <w:r w:rsidRPr="43579ED2">
        <w:rPr>
          <w:i/>
          <w:iCs/>
          <w:color w:val="0A0A0A"/>
          <w:sz w:val="22"/>
          <w:szCs w:val="22"/>
        </w:rPr>
        <w:t>Regularly teach in person, on campus</w:t>
      </w:r>
      <w:r w:rsidRPr="43579ED2">
        <w:rPr>
          <w:color w:val="0A0A0A"/>
          <w:sz w:val="22"/>
          <w:szCs w:val="22"/>
        </w:rPr>
        <w:t xml:space="preserve">. This is understood as teaching </w:t>
      </w:r>
      <w:r w:rsidRPr="43579ED2">
        <w:rPr>
          <w:color w:val="0A0A0A"/>
          <w:sz w:val="22"/>
          <w:szCs w:val="22"/>
          <w:u w:val="single"/>
        </w:rPr>
        <w:t>at least one 16-week class per semester</w:t>
      </w:r>
      <w:r w:rsidRPr="43579ED2">
        <w:rPr>
          <w:color w:val="0A0A0A"/>
          <w:sz w:val="22"/>
          <w:szCs w:val="22"/>
        </w:rPr>
        <w:t xml:space="preserve"> </w:t>
      </w:r>
      <w:r w:rsidRPr="43579ED2">
        <w:rPr>
          <w:color w:val="0A0A0A"/>
          <w:sz w:val="22"/>
          <w:szCs w:val="22"/>
          <w:u w:val="single"/>
        </w:rPr>
        <w:t>100% in person</w:t>
      </w:r>
      <w:r w:rsidRPr="43579ED2">
        <w:rPr>
          <w:color w:val="0A0A0A"/>
          <w:sz w:val="22"/>
          <w:szCs w:val="22"/>
        </w:rPr>
        <w:t xml:space="preserve"> (not hybrid).  The Dean or Associate Dean for Academic Programs must give approval for any faculty member not teaching at least one course each semester in person on the IU Indianapolis campus.</w:t>
      </w:r>
    </w:p>
    <w:p w14:paraId="3C9A0736" w14:textId="77777777" w:rsidR="00B055BD" w:rsidRPr="00FF4EF0" w:rsidRDefault="00B055BD" w:rsidP="00B055BD">
      <w:pPr>
        <w:pStyle w:val="ListParagraph"/>
        <w:numPr>
          <w:ilvl w:val="0"/>
          <w:numId w:val="4"/>
        </w:numPr>
        <w:autoSpaceDE w:val="0"/>
        <w:autoSpaceDN w:val="0"/>
        <w:adjustRightInd w:val="0"/>
        <w:rPr>
          <w:sz w:val="22"/>
          <w:szCs w:val="22"/>
        </w:rPr>
      </w:pPr>
      <w:r w:rsidRPr="00FF4EF0">
        <w:rPr>
          <w:i/>
          <w:iCs/>
          <w:sz w:val="22"/>
        </w:rPr>
        <w:t>Fully adhere to</w:t>
      </w:r>
      <w:r w:rsidRPr="00FF4EF0">
        <w:rPr>
          <w:sz w:val="22"/>
        </w:rPr>
        <w:t xml:space="preserve"> all </w:t>
      </w:r>
      <w:r w:rsidRPr="00FF4EF0">
        <w:rPr>
          <w:color w:val="0A0A0A"/>
          <w:sz w:val="22"/>
          <w:szCs w:val="22"/>
        </w:rPr>
        <w:t xml:space="preserve">requirements of </w:t>
      </w:r>
      <w:r w:rsidRPr="00FF4EF0">
        <w:rPr>
          <w:sz w:val="22"/>
        </w:rPr>
        <w:t xml:space="preserve">IU Policy </w:t>
      </w:r>
      <w:hyperlink r:id="rId11" w:history="1">
        <w:r w:rsidRPr="00FF4EF0">
          <w:rPr>
            <w:rStyle w:val="Hyperlink"/>
            <w:rFonts w:eastAsiaTheme="majorEastAsia"/>
            <w:sz w:val="22"/>
          </w:rPr>
          <w:t>BOT-15: Academic Appointee Responsibilities and Conduct</w:t>
        </w:r>
      </w:hyperlink>
      <w:r w:rsidRPr="00FF4EF0">
        <w:rPr>
          <w:sz w:val="22"/>
        </w:rPr>
        <w:t xml:space="preserve"> </w:t>
      </w:r>
      <w:r w:rsidRPr="00FF4EF0">
        <w:rPr>
          <w:sz w:val="22"/>
          <w:szCs w:val="22"/>
        </w:rPr>
        <w:t>and School of Liberal Arts expectations for teachers.</w:t>
      </w:r>
      <w:r w:rsidRPr="00FF4EF0">
        <w:rPr>
          <w:sz w:val="22"/>
        </w:rPr>
        <w:t xml:space="preserve">  These include:</w:t>
      </w:r>
    </w:p>
    <w:p w14:paraId="7C136E24" w14:textId="5F1559B2" w:rsidR="00B055BD" w:rsidRPr="00FF4EF0" w:rsidRDefault="00B055BD" w:rsidP="00B055BD">
      <w:pPr>
        <w:pStyle w:val="ListParagraph"/>
        <w:numPr>
          <w:ilvl w:val="1"/>
          <w:numId w:val="4"/>
        </w:numPr>
        <w:autoSpaceDE w:val="0"/>
        <w:autoSpaceDN w:val="0"/>
        <w:adjustRightInd w:val="0"/>
        <w:rPr>
          <w:color w:val="0A0A0A"/>
          <w:sz w:val="22"/>
          <w:szCs w:val="22"/>
        </w:rPr>
      </w:pPr>
      <w:r w:rsidRPr="00FF4EF0">
        <w:rPr>
          <w:sz w:val="22"/>
          <w:szCs w:val="22"/>
        </w:rPr>
        <w:t xml:space="preserve">Meet classes in the mode (in person, </w:t>
      </w:r>
      <w:r>
        <w:rPr>
          <w:sz w:val="22"/>
          <w:szCs w:val="22"/>
        </w:rPr>
        <w:t>web-based</w:t>
      </w:r>
      <w:r w:rsidRPr="00FF4EF0">
        <w:rPr>
          <w:sz w:val="22"/>
          <w:szCs w:val="22"/>
        </w:rPr>
        <w:t>, etc.)</w:t>
      </w:r>
      <w:r w:rsidR="00B7080D" w:rsidRPr="43579ED2">
        <w:rPr>
          <w:color w:val="0A0A0A"/>
          <w:sz w:val="22"/>
          <w:szCs w:val="22"/>
        </w:rPr>
        <w:t>, as scheduled in SIS</w:t>
      </w:r>
      <w:r w:rsidRPr="00FF4EF0">
        <w:rPr>
          <w:sz w:val="22"/>
          <w:szCs w:val="22"/>
        </w:rPr>
        <w:t>.</w:t>
      </w:r>
    </w:p>
    <w:p w14:paraId="10755EE1" w14:textId="0315FAD1" w:rsidR="00B055BD" w:rsidRPr="00FF4EF0" w:rsidRDefault="00B055BD" w:rsidP="00B055BD">
      <w:pPr>
        <w:pStyle w:val="ListParagraph"/>
        <w:numPr>
          <w:ilvl w:val="1"/>
          <w:numId w:val="4"/>
        </w:numPr>
        <w:autoSpaceDE w:val="0"/>
        <w:autoSpaceDN w:val="0"/>
        <w:adjustRightInd w:val="0"/>
        <w:rPr>
          <w:color w:val="0A0A0A"/>
          <w:sz w:val="22"/>
          <w:szCs w:val="22"/>
        </w:rPr>
      </w:pPr>
      <w:r>
        <w:rPr>
          <w:sz w:val="22"/>
          <w:szCs w:val="22"/>
        </w:rPr>
        <w:t>Announce and h</w:t>
      </w:r>
      <w:r w:rsidRPr="00FF4EF0">
        <w:rPr>
          <w:sz w:val="22"/>
          <w:szCs w:val="22"/>
        </w:rPr>
        <w:t xml:space="preserve">old weekly oﬃce hours and have a procedure for students to contact </w:t>
      </w:r>
      <w:r w:rsidR="00BF47C1">
        <w:rPr>
          <w:sz w:val="22"/>
          <w:szCs w:val="22"/>
        </w:rPr>
        <w:t>you</w:t>
      </w:r>
      <w:r w:rsidRPr="00FF4EF0">
        <w:rPr>
          <w:sz w:val="22"/>
          <w:szCs w:val="22"/>
        </w:rPr>
        <w:t xml:space="preserve"> outside of office hours.</w:t>
      </w:r>
      <w:r>
        <w:rPr>
          <w:sz w:val="22"/>
          <w:szCs w:val="22"/>
        </w:rPr>
        <w:t xml:space="preserve"> At least some in-person office hours are scheduled weekly.</w:t>
      </w:r>
    </w:p>
    <w:p w14:paraId="01C5A4B3" w14:textId="77777777" w:rsidR="00B055BD" w:rsidRPr="00FF4EF0" w:rsidRDefault="00B055BD" w:rsidP="00B055BD">
      <w:pPr>
        <w:pStyle w:val="ListParagraph"/>
        <w:numPr>
          <w:ilvl w:val="1"/>
          <w:numId w:val="4"/>
        </w:numPr>
        <w:autoSpaceDE w:val="0"/>
        <w:autoSpaceDN w:val="0"/>
        <w:adjustRightInd w:val="0"/>
        <w:rPr>
          <w:color w:val="0A0A0A"/>
          <w:sz w:val="22"/>
          <w:szCs w:val="22"/>
        </w:rPr>
      </w:pPr>
      <w:r w:rsidRPr="00FF4EF0">
        <w:rPr>
          <w:sz w:val="22"/>
          <w:szCs w:val="22"/>
        </w:rPr>
        <w:t>Respond in a timely manner to students who contact you.</w:t>
      </w:r>
    </w:p>
    <w:p w14:paraId="164C1B08" w14:textId="77777777" w:rsidR="00B055BD" w:rsidRPr="00FF4EF0" w:rsidRDefault="00B055BD" w:rsidP="00B055BD">
      <w:pPr>
        <w:pStyle w:val="ListParagraph"/>
        <w:numPr>
          <w:ilvl w:val="1"/>
          <w:numId w:val="4"/>
        </w:numPr>
        <w:autoSpaceDE w:val="0"/>
        <w:autoSpaceDN w:val="0"/>
        <w:adjustRightInd w:val="0"/>
        <w:rPr>
          <w:color w:val="0A0A0A"/>
          <w:sz w:val="22"/>
          <w:szCs w:val="22"/>
        </w:rPr>
      </w:pPr>
      <w:r w:rsidRPr="00FF4EF0">
        <w:rPr>
          <w:sz w:val="22"/>
          <w:szCs w:val="22"/>
        </w:rPr>
        <w:t xml:space="preserve">Keep current in </w:t>
      </w:r>
      <w:r>
        <w:rPr>
          <w:sz w:val="22"/>
          <w:szCs w:val="22"/>
        </w:rPr>
        <w:t>your</w:t>
      </w:r>
      <w:r w:rsidRPr="00FF4EF0">
        <w:rPr>
          <w:sz w:val="22"/>
          <w:szCs w:val="22"/>
        </w:rPr>
        <w:t xml:space="preserve"> ﬁelds.</w:t>
      </w:r>
    </w:p>
    <w:p w14:paraId="00B5B7A3" w14:textId="7D43DBF9" w:rsidR="00B055BD" w:rsidRPr="00FF4EF0" w:rsidRDefault="00B055BD" w:rsidP="00B055BD">
      <w:pPr>
        <w:pStyle w:val="ListParagraph"/>
        <w:numPr>
          <w:ilvl w:val="1"/>
          <w:numId w:val="4"/>
        </w:numPr>
        <w:autoSpaceDE w:val="0"/>
        <w:autoSpaceDN w:val="0"/>
        <w:adjustRightInd w:val="0"/>
        <w:rPr>
          <w:color w:val="0A0A0A"/>
          <w:sz w:val="22"/>
          <w:szCs w:val="22"/>
        </w:rPr>
      </w:pPr>
      <w:r w:rsidRPr="00FF4EF0">
        <w:rPr>
          <w:sz w:val="22"/>
          <w:szCs w:val="22"/>
        </w:rPr>
        <w:t xml:space="preserve">Keep current with teaching pedagogy that </w:t>
      </w:r>
      <w:r w:rsidR="002744A9">
        <w:rPr>
          <w:sz w:val="22"/>
          <w:szCs w:val="22"/>
        </w:rPr>
        <w:t>involves active learning</w:t>
      </w:r>
      <w:r w:rsidRPr="00FF4EF0">
        <w:rPr>
          <w:sz w:val="22"/>
          <w:szCs w:val="22"/>
        </w:rPr>
        <w:t>.</w:t>
      </w:r>
    </w:p>
    <w:p w14:paraId="56529565" w14:textId="77777777" w:rsidR="00B055BD" w:rsidRPr="00753A6B" w:rsidRDefault="00B055BD" w:rsidP="00B055BD">
      <w:pPr>
        <w:pStyle w:val="ListParagraph"/>
        <w:numPr>
          <w:ilvl w:val="1"/>
          <w:numId w:val="4"/>
        </w:numPr>
        <w:autoSpaceDE w:val="0"/>
        <w:autoSpaceDN w:val="0"/>
        <w:adjustRightInd w:val="0"/>
        <w:rPr>
          <w:color w:val="0A0A0A"/>
          <w:sz w:val="22"/>
          <w:szCs w:val="22"/>
        </w:rPr>
      </w:pPr>
      <w:r w:rsidRPr="00FF4EF0">
        <w:rPr>
          <w:sz w:val="22"/>
          <w:szCs w:val="22"/>
        </w:rPr>
        <w:t>Develop syllabi and course requirements that meet department, school, and campus requirements.</w:t>
      </w:r>
    </w:p>
    <w:p w14:paraId="393A31D7" w14:textId="77777777" w:rsidR="00B055BD" w:rsidRPr="00CB5653" w:rsidRDefault="00B055BD" w:rsidP="00B055BD">
      <w:pPr>
        <w:pStyle w:val="ListParagraph"/>
        <w:numPr>
          <w:ilvl w:val="1"/>
          <w:numId w:val="4"/>
        </w:numPr>
        <w:autoSpaceDE w:val="0"/>
        <w:autoSpaceDN w:val="0"/>
        <w:adjustRightInd w:val="0"/>
        <w:rPr>
          <w:color w:val="0A0A0A"/>
          <w:sz w:val="22"/>
          <w:szCs w:val="22"/>
        </w:rPr>
      </w:pPr>
      <w:r w:rsidRPr="00CB5653">
        <w:rPr>
          <w:sz w:val="22"/>
          <w:szCs w:val="22"/>
        </w:rPr>
        <w:t xml:space="preserve">Post all syllabi on </w:t>
      </w:r>
      <w:r w:rsidRPr="6F7BD293">
        <w:rPr>
          <w:sz w:val="22"/>
          <w:szCs w:val="22"/>
        </w:rPr>
        <w:t xml:space="preserve">the </w:t>
      </w:r>
      <w:r w:rsidRPr="00CB5653">
        <w:rPr>
          <w:sz w:val="22"/>
          <w:szCs w:val="22"/>
        </w:rPr>
        <w:t>CANVAS</w:t>
      </w:r>
      <w:r>
        <w:rPr>
          <w:sz w:val="22"/>
          <w:szCs w:val="22"/>
        </w:rPr>
        <w:t xml:space="preserve"> course site</w:t>
      </w:r>
      <w:r w:rsidRPr="00CB5653">
        <w:rPr>
          <w:sz w:val="22"/>
          <w:szCs w:val="22"/>
        </w:rPr>
        <w:t xml:space="preserve">.  </w:t>
      </w:r>
      <w:r w:rsidRPr="00AC6A57">
        <w:rPr>
          <w:i/>
          <w:sz w:val="22"/>
          <w:szCs w:val="22"/>
        </w:rPr>
        <w:t>Note</w:t>
      </w:r>
      <w:r w:rsidRPr="00CB5653">
        <w:rPr>
          <w:sz w:val="22"/>
          <w:szCs w:val="22"/>
        </w:rPr>
        <w:t xml:space="preserve">: </w:t>
      </w:r>
      <w:r>
        <w:rPr>
          <w:sz w:val="22"/>
          <w:szCs w:val="22"/>
        </w:rPr>
        <w:t>Syllabi must include all content required by Indiana University and State law</w:t>
      </w:r>
      <w:r w:rsidRPr="6F7BD293">
        <w:rPr>
          <w:color w:val="000000" w:themeColor="text1"/>
          <w:sz w:val="22"/>
          <w:szCs w:val="22"/>
        </w:rPr>
        <w:t>.</w:t>
      </w:r>
    </w:p>
    <w:p w14:paraId="0896C480" w14:textId="60AABF3B" w:rsidR="00B055BD" w:rsidRPr="00FF4EF0" w:rsidRDefault="00B055BD" w:rsidP="00B055BD">
      <w:pPr>
        <w:pStyle w:val="ListParagraph"/>
        <w:numPr>
          <w:ilvl w:val="1"/>
          <w:numId w:val="4"/>
        </w:numPr>
        <w:autoSpaceDE w:val="0"/>
        <w:autoSpaceDN w:val="0"/>
        <w:adjustRightInd w:val="0"/>
        <w:rPr>
          <w:color w:val="0A0A0A"/>
          <w:sz w:val="22"/>
          <w:szCs w:val="22"/>
        </w:rPr>
      </w:pPr>
      <w:r w:rsidRPr="00FF4EF0">
        <w:rPr>
          <w:sz w:val="22"/>
          <w:szCs w:val="22"/>
        </w:rPr>
        <w:t xml:space="preserve">Assess student learning/performance, provide students with regular and timely feedback on their learning/performance, and submit </w:t>
      </w:r>
      <w:r w:rsidR="00B9246E">
        <w:rPr>
          <w:sz w:val="22"/>
          <w:szCs w:val="22"/>
        </w:rPr>
        <w:t xml:space="preserve">final course </w:t>
      </w:r>
      <w:r w:rsidRPr="00FF4EF0">
        <w:rPr>
          <w:sz w:val="22"/>
          <w:szCs w:val="22"/>
        </w:rPr>
        <w:t>grades and other assessments by posted due dates.</w:t>
      </w:r>
      <w:r>
        <w:rPr>
          <w:sz w:val="22"/>
          <w:szCs w:val="22"/>
        </w:rPr>
        <w:t xml:space="preserve">  </w:t>
      </w:r>
      <w:r w:rsidRPr="00DE2855">
        <w:rPr>
          <w:i/>
          <w:iCs/>
          <w:sz w:val="22"/>
          <w:szCs w:val="22"/>
        </w:rPr>
        <w:t>This includes using the Student Engagement Roster for all General Education courses</w:t>
      </w:r>
      <w:r>
        <w:rPr>
          <w:sz w:val="22"/>
          <w:szCs w:val="22"/>
        </w:rPr>
        <w:t>.</w:t>
      </w:r>
    </w:p>
    <w:p w14:paraId="1AFD093E" w14:textId="77777777" w:rsidR="00B055BD" w:rsidRPr="00FF4EF0" w:rsidRDefault="00B055BD" w:rsidP="00B055BD">
      <w:pPr>
        <w:pStyle w:val="ListParagraph"/>
        <w:numPr>
          <w:ilvl w:val="1"/>
          <w:numId w:val="4"/>
        </w:numPr>
        <w:autoSpaceDE w:val="0"/>
        <w:autoSpaceDN w:val="0"/>
        <w:adjustRightInd w:val="0"/>
        <w:rPr>
          <w:color w:val="0A0A0A"/>
          <w:sz w:val="22"/>
          <w:szCs w:val="22"/>
        </w:rPr>
      </w:pPr>
      <w:r>
        <w:rPr>
          <w:sz w:val="22"/>
          <w:szCs w:val="22"/>
        </w:rPr>
        <w:t>Review</w:t>
      </w:r>
      <w:r w:rsidRPr="00FF4EF0">
        <w:rPr>
          <w:sz w:val="22"/>
          <w:szCs w:val="22"/>
        </w:rPr>
        <w:t xml:space="preserve"> </w:t>
      </w:r>
      <w:r w:rsidRPr="00FF4EF0">
        <w:rPr>
          <w:sz w:val="22"/>
          <w:szCs w:val="22"/>
          <w:u w:val="single"/>
        </w:rPr>
        <w:t>and reﬂect on</w:t>
      </w:r>
      <w:r w:rsidRPr="00FF4EF0">
        <w:rPr>
          <w:sz w:val="22"/>
          <w:szCs w:val="22"/>
        </w:rPr>
        <w:t xml:space="preserve"> student course evaluations</w:t>
      </w:r>
      <w:r w:rsidRPr="00FF4EF0">
        <w:rPr>
          <w:sz w:val="22"/>
        </w:rPr>
        <w:t xml:space="preserve">.  </w:t>
      </w:r>
    </w:p>
    <w:p w14:paraId="78583F79" w14:textId="04AC78BD" w:rsidR="00B055BD" w:rsidRPr="00FF4EF0" w:rsidRDefault="00E12F4B" w:rsidP="00B055BD">
      <w:pPr>
        <w:pStyle w:val="ListParagraph"/>
        <w:autoSpaceDE w:val="0"/>
        <w:autoSpaceDN w:val="0"/>
        <w:adjustRightInd w:val="0"/>
        <w:ind w:left="1800"/>
        <w:rPr>
          <w:color w:val="0A0A0A"/>
          <w:sz w:val="22"/>
          <w:szCs w:val="22"/>
        </w:rPr>
      </w:pPr>
      <w:r w:rsidRPr="6F7BD293">
        <w:rPr>
          <w:sz w:val="22"/>
          <w:szCs w:val="22"/>
        </w:rPr>
        <w:t xml:space="preserve">It is understood that course evaluations by themselves are not always an accurate indication of good teaching, but consistently poor evaluations are often an indication that content and/or methods do not meet the expectation of effective and engaging teaching that includes the </w:t>
      </w:r>
      <w:r w:rsidRPr="00FF4EF0">
        <w:rPr>
          <w:sz w:val="22"/>
          <w:szCs w:val="22"/>
        </w:rPr>
        <w:t>ability to crea</w:t>
      </w:r>
      <w:r>
        <w:rPr>
          <w:sz w:val="22"/>
          <w:szCs w:val="22"/>
        </w:rPr>
        <w:t>t</w:t>
      </w:r>
      <w:r w:rsidRPr="00FF4EF0">
        <w:rPr>
          <w:sz w:val="22"/>
          <w:szCs w:val="22"/>
        </w:rPr>
        <w:t xml:space="preserve">e and maintain instructional environments </w:t>
      </w:r>
      <w:r w:rsidRPr="00FF4EF0">
        <w:rPr>
          <w:sz w:val="22"/>
          <w:szCs w:val="22"/>
        </w:rPr>
        <w:lastRenderedPageBreak/>
        <w:t>that promote student learning</w:t>
      </w:r>
      <w:r w:rsidRPr="6F7BD293">
        <w:rPr>
          <w:sz w:val="22"/>
          <w:szCs w:val="22"/>
        </w:rPr>
        <w:t xml:space="preserve">.  Consistently low course evaluations on the “Overall” scores, especially if student comments indicate concerns, </w:t>
      </w:r>
      <w:r>
        <w:rPr>
          <w:sz w:val="22"/>
          <w:szCs w:val="22"/>
        </w:rPr>
        <w:t>may</w:t>
      </w:r>
      <w:r w:rsidRPr="6F7BD293">
        <w:rPr>
          <w:sz w:val="22"/>
          <w:szCs w:val="22"/>
        </w:rPr>
        <w:t xml:space="preserve"> be commented on</w:t>
      </w:r>
      <w:r>
        <w:rPr>
          <w:sz w:val="22"/>
          <w:szCs w:val="22"/>
        </w:rPr>
        <w:t xml:space="preserve"> in the Faculty Annual Review</w:t>
      </w:r>
      <w:r w:rsidR="00B055BD" w:rsidRPr="6F7BD293">
        <w:rPr>
          <w:sz w:val="22"/>
          <w:szCs w:val="22"/>
        </w:rPr>
        <w:t>.</w:t>
      </w:r>
    </w:p>
    <w:p w14:paraId="6C880EBF" w14:textId="77777777" w:rsidR="00B055BD" w:rsidRPr="00FF4EF0" w:rsidRDefault="00B055BD" w:rsidP="00B055BD">
      <w:pPr>
        <w:autoSpaceDE w:val="0"/>
        <w:autoSpaceDN w:val="0"/>
        <w:adjustRightInd w:val="0"/>
        <w:rPr>
          <w:color w:val="0A0A0A"/>
          <w:sz w:val="22"/>
          <w:szCs w:val="22"/>
        </w:rPr>
      </w:pPr>
    </w:p>
    <w:p w14:paraId="6BC22A6E" w14:textId="77777777" w:rsidR="00676028" w:rsidRPr="00FF4EF0" w:rsidRDefault="00676028" w:rsidP="00676028">
      <w:pPr>
        <w:widowControl w:val="0"/>
        <w:rPr>
          <w:b/>
          <w:bCs/>
          <w:i/>
          <w:iCs/>
          <w:color w:val="243142"/>
          <w:sz w:val="22"/>
          <w:szCs w:val="22"/>
          <w:shd w:val="clear" w:color="auto" w:fill="FFFFFF"/>
        </w:rPr>
      </w:pPr>
      <w:r w:rsidRPr="00FF4EF0">
        <w:rPr>
          <w:b/>
          <w:bCs/>
          <w:i/>
          <w:iCs/>
          <w:color w:val="243142"/>
          <w:sz w:val="22"/>
          <w:szCs w:val="22"/>
          <w:shd w:val="clear" w:color="auto" w:fill="FFFFFF"/>
        </w:rPr>
        <w:t xml:space="preserve">Teaching that </w:t>
      </w:r>
      <w:r>
        <w:rPr>
          <w:b/>
          <w:bCs/>
          <w:i/>
          <w:iCs/>
          <w:color w:val="243142"/>
          <w:sz w:val="22"/>
          <w:szCs w:val="22"/>
          <w:u w:val="single"/>
          <w:shd w:val="clear" w:color="auto" w:fill="FFFFFF"/>
        </w:rPr>
        <w:t>does not meet</w:t>
      </w:r>
      <w:r w:rsidRPr="00FF4EF0">
        <w:rPr>
          <w:b/>
          <w:bCs/>
          <w:i/>
          <w:iCs/>
          <w:color w:val="243142"/>
          <w:sz w:val="22"/>
          <w:szCs w:val="22"/>
          <w:shd w:val="clear" w:color="auto" w:fill="FFFFFF"/>
        </w:rPr>
        <w:t xml:space="preserve"> </w:t>
      </w:r>
      <w:r>
        <w:rPr>
          <w:b/>
          <w:bCs/>
          <w:i/>
          <w:iCs/>
          <w:color w:val="0A0A0A"/>
          <w:sz w:val="22"/>
          <w:szCs w:val="22"/>
        </w:rPr>
        <w:t xml:space="preserve">productivity </w:t>
      </w:r>
      <w:r w:rsidRPr="00FF4EF0">
        <w:rPr>
          <w:b/>
          <w:bCs/>
          <w:i/>
          <w:iCs/>
          <w:color w:val="243142"/>
          <w:sz w:val="22"/>
          <w:szCs w:val="22"/>
          <w:shd w:val="clear" w:color="auto" w:fill="FFFFFF"/>
        </w:rPr>
        <w:t>expectations</w:t>
      </w:r>
    </w:p>
    <w:p w14:paraId="12E2AAAF" w14:textId="77777777" w:rsidR="00676028" w:rsidRPr="00FF4EF0" w:rsidRDefault="00676028" w:rsidP="00676028">
      <w:pPr>
        <w:autoSpaceDE w:val="0"/>
        <w:autoSpaceDN w:val="0"/>
        <w:adjustRightInd w:val="0"/>
        <w:rPr>
          <w:color w:val="0A0A0A"/>
          <w:sz w:val="22"/>
          <w:szCs w:val="22"/>
        </w:rPr>
      </w:pPr>
      <w:r w:rsidRPr="005D2CEE">
        <w:rPr>
          <w:color w:val="0A0A0A"/>
          <w:sz w:val="22"/>
          <w:szCs w:val="22"/>
        </w:rPr>
        <w:t xml:space="preserve">If </w:t>
      </w:r>
      <w:r>
        <w:rPr>
          <w:color w:val="0A0A0A"/>
          <w:sz w:val="22"/>
          <w:szCs w:val="22"/>
        </w:rPr>
        <w:t xml:space="preserve">above </w:t>
      </w:r>
      <w:r w:rsidRPr="005D2CEE">
        <w:rPr>
          <w:color w:val="0A0A0A"/>
          <w:sz w:val="22"/>
          <w:szCs w:val="22"/>
        </w:rPr>
        <w:t>expectations are not met</w:t>
      </w:r>
      <w:r w:rsidRPr="00FF4EF0">
        <w:rPr>
          <w:color w:val="0A0A0A"/>
          <w:sz w:val="22"/>
          <w:szCs w:val="22"/>
        </w:rPr>
        <w:t xml:space="preserve">, </w:t>
      </w:r>
      <w:r>
        <w:rPr>
          <w:color w:val="0A0A0A"/>
          <w:sz w:val="22"/>
          <w:szCs w:val="22"/>
        </w:rPr>
        <w:t>the faculty member is evaluated as “</w:t>
      </w:r>
      <w:r w:rsidRPr="00930E4A">
        <w:rPr>
          <w:i/>
          <w:iCs/>
          <w:color w:val="0A0A0A"/>
          <w:sz w:val="22"/>
          <w:szCs w:val="22"/>
        </w:rPr>
        <w:t>does not meet productivity expectations</w:t>
      </w:r>
      <w:r>
        <w:rPr>
          <w:color w:val="0A0A0A"/>
          <w:sz w:val="22"/>
          <w:szCs w:val="22"/>
        </w:rPr>
        <w:t xml:space="preserve">” for teaching, </w:t>
      </w:r>
      <w:r w:rsidRPr="00955869">
        <w:rPr>
          <w:b/>
          <w:bCs/>
          <w:color w:val="0A0A0A"/>
          <w:sz w:val="22"/>
          <w:szCs w:val="22"/>
        </w:rPr>
        <w:t>AND</w:t>
      </w:r>
      <w:r>
        <w:rPr>
          <w:color w:val="0A0A0A"/>
          <w:sz w:val="22"/>
          <w:szCs w:val="22"/>
        </w:rPr>
        <w:t xml:space="preserve"> </w:t>
      </w:r>
      <w:r w:rsidRPr="00717756">
        <w:rPr>
          <w:color w:val="0A0A0A"/>
          <w:sz w:val="22"/>
          <w:szCs w:val="22"/>
          <w:u w:val="single"/>
        </w:rPr>
        <w:t>overall faculty effort</w:t>
      </w:r>
      <w:r w:rsidRPr="00FF4EF0">
        <w:rPr>
          <w:color w:val="0A0A0A"/>
          <w:sz w:val="22"/>
          <w:szCs w:val="22"/>
        </w:rPr>
        <w:t xml:space="preserve"> for the year </w:t>
      </w:r>
      <w:r>
        <w:rPr>
          <w:color w:val="0A0A0A"/>
          <w:sz w:val="22"/>
          <w:szCs w:val="22"/>
        </w:rPr>
        <w:t>will</w:t>
      </w:r>
      <w:r w:rsidRPr="00FF4EF0">
        <w:rPr>
          <w:color w:val="0A0A0A"/>
          <w:sz w:val="22"/>
          <w:szCs w:val="22"/>
        </w:rPr>
        <w:t xml:space="preserve"> be evaluated as “</w:t>
      </w:r>
      <w:r w:rsidRPr="002402EF">
        <w:rPr>
          <w:i/>
          <w:iCs/>
          <w:color w:val="0A0A0A"/>
          <w:sz w:val="22"/>
          <w:szCs w:val="22"/>
        </w:rPr>
        <w:t>does not meet productivity expectations</w:t>
      </w:r>
      <w:r w:rsidRPr="00FF4EF0">
        <w:rPr>
          <w:color w:val="0A0A0A"/>
          <w:sz w:val="22"/>
          <w:szCs w:val="22"/>
        </w:rPr>
        <w:t>” with a specific plan for addressing the concerns included on the annual review.</w:t>
      </w:r>
    </w:p>
    <w:p w14:paraId="423EB104" w14:textId="77777777" w:rsidR="00B055BD" w:rsidRPr="00FF4EF0" w:rsidRDefault="00B055BD" w:rsidP="00B055BD">
      <w:pPr>
        <w:autoSpaceDE w:val="0"/>
        <w:autoSpaceDN w:val="0"/>
        <w:adjustRightInd w:val="0"/>
        <w:rPr>
          <w:b/>
          <w:bCs/>
          <w:i/>
          <w:iCs/>
          <w:sz w:val="22"/>
        </w:rPr>
      </w:pPr>
    </w:p>
    <w:p w14:paraId="20912904" w14:textId="77777777" w:rsidR="002E1E92" w:rsidRPr="00FF4EF0" w:rsidRDefault="002E1E92" w:rsidP="002E1E92">
      <w:pPr>
        <w:widowControl w:val="0"/>
        <w:rPr>
          <w:b/>
          <w:bCs/>
          <w:i/>
          <w:iCs/>
          <w:color w:val="243142"/>
          <w:sz w:val="22"/>
          <w:szCs w:val="22"/>
          <w:shd w:val="clear" w:color="auto" w:fill="FFFFFF"/>
        </w:rPr>
      </w:pPr>
      <w:r w:rsidRPr="00FF4EF0">
        <w:rPr>
          <w:b/>
          <w:bCs/>
          <w:i/>
          <w:iCs/>
          <w:color w:val="243142"/>
          <w:sz w:val="22"/>
          <w:szCs w:val="22"/>
          <w:shd w:val="clear" w:color="auto" w:fill="FFFFFF"/>
        </w:rPr>
        <w:t xml:space="preserve">Teaching that </w:t>
      </w:r>
      <w:r w:rsidRPr="00FF4EF0">
        <w:rPr>
          <w:b/>
          <w:bCs/>
          <w:i/>
          <w:iCs/>
          <w:color w:val="243142"/>
          <w:sz w:val="22"/>
          <w:szCs w:val="22"/>
          <w:u w:val="single"/>
          <w:shd w:val="clear" w:color="auto" w:fill="FFFFFF"/>
        </w:rPr>
        <w:t>exceeds</w:t>
      </w:r>
      <w:r w:rsidRPr="00FF4EF0">
        <w:rPr>
          <w:b/>
          <w:bCs/>
          <w:i/>
          <w:iCs/>
          <w:color w:val="243142"/>
          <w:sz w:val="22"/>
          <w:szCs w:val="22"/>
          <w:shd w:val="clear" w:color="auto" w:fill="FFFFFF"/>
        </w:rPr>
        <w:t xml:space="preserve"> </w:t>
      </w:r>
      <w:r>
        <w:rPr>
          <w:b/>
          <w:bCs/>
          <w:i/>
          <w:iCs/>
          <w:color w:val="0A0A0A"/>
          <w:sz w:val="22"/>
          <w:szCs w:val="22"/>
        </w:rPr>
        <w:t xml:space="preserve">productivity </w:t>
      </w:r>
      <w:r w:rsidRPr="00FF4EF0">
        <w:rPr>
          <w:b/>
          <w:bCs/>
          <w:i/>
          <w:iCs/>
          <w:color w:val="243142"/>
          <w:sz w:val="22"/>
          <w:szCs w:val="22"/>
          <w:shd w:val="clear" w:color="auto" w:fill="FFFFFF"/>
        </w:rPr>
        <w:t>expectations:</w:t>
      </w:r>
    </w:p>
    <w:p w14:paraId="7BDF33B9" w14:textId="77777777" w:rsidR="002E1E92" w:rsidRPr="004D6E4D" w:rsidRDefault="002E1E92" w:rsidP="002E1E92">
      <w:pPr>
        <w:rPr>
          <w:color w:val="243142"/>
          <w:sz w:val="22"/>
          <w:szCs w:val="22"/>
          <w:shd w:val="clear" w:color="auto" w:fill="FFFFFF"/>
        </w:rPr>
      </w:pPr>
      <w:r w:rsidRPr="00C0408A">
        <w:rPr>
          <w:color w:val="243142"/>
          <w:sz w:val="22"/>
          <w:szCs w:val="22"/>
          <w:shd w:val="clear" w:color="auto" w:fill="FFFFFF"/>
        </w:rPr>
        <w:t xml:space="preserve">Teaching that exceeds expectations not only “meets” all expectations but includes </w:t>
      </w:r>
      <w:r>
        <w:rPr>
          <w:color w:val="243142"/>
          <w:sz w:val="22"/>
          <w:szCs w:val="22"/>
          <w:shd w:val="clear" w:color="auto" w:fill="FFFFFF"/>
        </w:rPr>
        <w:t>o</w:t>
      </w:r>
      <w:r w:rsidRPr="00C0408A">
        <w:rPr>
          <w:color w:val="243142"/>
          <w:sz w:val="22"/>
          <w:szCs w:val="22"/>
          <w:shd w:val="clear" w:color="auto" w:fill="FFFFFF"/>
        </w:rPr>
        <w:t>ther significant teaching contributions to the department, school, campus, university, community, and/or profession</w:t>
      </w:r>
      <w:r w:rsidRPr="003B0A20">
        <w:rPr>
          <w:color w:val="243142"/>
          <w:sz w:val="22"/>
          <w:szCs w:val="22"/>
          <w:shd w:val="clear" w:color="auto" w:fill="FFFFFF"/>
        </w:rPr>
        <w:t xml:space="preserve">. </w:t>
      </w:r>
      <w:r w:rsidRPr="003B0A20">
        <w:rPr>
          <w:sz w:val="22"/>
          <w:szCs w:val="22"/>
        </w:rPr>
        <w:t>In all cases, it is the responsibility of the faulty member to explain and document the quality and impact of their work in keeping with the teaching workload distribution and departmental criteria, including why it exceeds expectations</w:t>
      </w:r>
      <w:r w:rsidRPr="003B0A20">
        <w:rPr>
          <w:color w:val="243142"/>
          <w:sz w:val="22"/>
          <w:szCs w:val="22"/>
          <w:shd w:val="clear" w:color="auto" w:fill="FFFFFF"/>
        </w:rPr>
        <w:t>.</w:t>
      </w:r>
    </w:p>
    <w:p w14:paraId="3CD04608" w14:textId="77777777" w:rsidR="002E1E92" w:rsidRDefault="002E1E92" w:rsidP="002E1E92">
      <w:pPr>
        <w:rPr>
          <w:color w:val="243142"/>
          <w:sz w:val="22"/>
          <w:szCs w:val="22"/>
          <w:shd w:val="clear" w:color="auto" w:fill="FFFFFF"/>
        </w:rPr>
      </w:pPr>
    </w:p>
    <w:p w14:paraId="1D1B641F" w14:textId="77777777" w:rsidR="002E1E92" w:rsidRPr="00FF4EF0" w:rsidRDefault="002E1E92" w:rsidP="002E1E92">
      <w:pPr>
        <w:rPr>
          <w:color w:val="243142"/>
          <w:sz w:val="22"/>
          <w:szCs w:val="22"/>
          <w:shd w:val="clear" w:color="auto" w:fill="FFFFFF"/>
        </w:rPr>
      </w:pPr>
      <w:r>
        <w:rPr>
          <w:color w:val="243142"/>
          <w:sz w:val="22"/>
          <w:szCs w:val="22"/>
          <w:shd w:val="clear" w:color="auto" w:fill="FFFFFF"/>
        </w:rPr>
        <w:t>Examples of teaching that may exceed expectations include, but are not limited to, the following:</w:t>
      </w:r>
    </w:p>
    <w:p w14:paraId="3EDCAA1E" w14:textId="77777777" w:rsidR="002E1E92" w:rsidRPr="00FF4EF0" w:rsidRDefault="002E1E92" w:rsidP="002E1E92">
      <w:pPr>
        <w:pStyle w:val="ListParagraph"/>
        <w:numPr>
          <w:ilvl w:val="1"/>
          <w:numId w:val="2"/>
        </w:numPr>
        <w:ind w:left="1440"/>
        <w:rPr>
          <w:color w:val="243142"/>
          <w:sz w:val="22"/>
          <w:szCs w:val="22"/>
          <w:shd w:val="clear" w:color="auto" w:fill="FFFFFF"/>
        </w:rPr>
      </w:pPr>
      <w:r w:rsidRPr="00FF4EF0">
        <w:rPr>
          <w:color w:val="243142"/>
          <w:sz w:val="22"/>
          <w:szCs w:val="22"/>
          <w:shd w:val="clear" w:color="auto" w:fill="FFFFFF"/>
        </w:rPr>
        <w:t>Peer-reviewed dissemination (e.g., conference/poster presentation, workshop).</w:t>
      </w:r>
    </w:p>
    <w:p w14:paraId="327704DC" w14:textId="1A6812B8" w:rsidR="002E1E92" w:rsidRDefault="002E1E92" w:rsidP="002E1E92">
      <w:pPr>
        <w:pStyle w:val="ListParagraph"/>
        <w:numPr>
          <w:ilvl w:val="1"/>
          <w:numId w:val="2"/>
        </w:numPr>
        <w:ind w:left="1440"/>
        <w:rPr>
          <w:color w:val="243142"/>
          <w:sz w:val="22"/>
          <w:szCs w:val="22"/>
        </w:rPr>
      </w:pPr>
      <w:r w:rsidRPr="6F7BD293">
        <w:rPr>
          <w:color w:val="243142"/>
          <w:sz w:val="22"/>
          <w:szCs w:val="22"/>
        </w:rPr>
        <w:t xml:space="preserve">Publication of a scholarship of teaching and learning </w:t>
      </w:r>
      <w:r w:rsidR="00DE3977">
        <w:rPr>
          <w:color w:val="243142"/>
          <w:sz w:val="22"/>
          <w:szCs w:val="22"/>
        </w:rPr>
        <w:t xml:space="preserve">in a </w:t>
      </w:r>
      <w:r w:rsidRPr="6F7BD293">
        <w:rPr>
          <w:color w:val="243142"/>
          <w:sz w:val="22"/>
          <w:szCs w:val="22"/>
        </w:rPr>
        <w:t>journal article</w:t>
      </w:r>
      <w:r w:rsidR="00A7783A">
        <w:rPr>
          <w:color w:val="243142"/>
          <w:sz w:val="22"/>
          <w:szCs w:val="22"/>
        </w:rPr>
        <w:t>,</w:t>
      </w:r>
      <w:r w:rsidRPr="6F7BD293">
        <w:rPr>
          <w:color w:val="243142"/>
          <w:sz w:val="22"/>
          <w:szCs w:val="22"/>
        </w:rPr>
        <w:t xml:space="preserve"> book chapter</w:t>
      </w:r>
      <w:r w:rsidR="00A726D4">
        <w:rPr>
          <w:color w:val="243142"/>
          <w:sz w:val="22"/>
          <w:szCs w:val="22"/>
        </w:rPr>
        <w:t xml:space="preserve">, or other </w:t>
      </w:r>
      <w:r w:rsidR="00AA75FE">
        <w:rPr>
          <w:color w:val="243142"/>
          <w:sz w:val="22"/>
          <w:szCs w:val="22"/>
        </w:rPr>
        <w:t>peer-reviewed venues appropriate for the discipline.</w:t>
      </w:r>
    </w:p>
    <w:p w14:paraId="1B023C19" w14:textId="0CA8085B" w:rsidR="002E1E92" w:rsidRPr="006E0619" w:rsidRDefault="002E1E92" w:rsidP="002E1E92">
      <w:pPr>
        <w:pStyle w:val="ListParagraph"/>
        <w:numPr>
          <w:ilvl w:val="1"/>
          <w:numId w:val="2"/>
        </w:numPr>
        <w:ind w:left="1440"/>
        <w:rPr>
          <w:color w:val="243142"/>
          <w:sz w:val="22"/>
          <w:szCs w:val="22"/>
        </w:rPr>
      </w:pPr>
      <w:r w:rsidRPr="006E0619">
        <w:rPr>
          <w:color w:val="243142"/>
          <w:sz w:val="22"/>
          <w:szCs w:val="22"/>
        </w:rPr>
        <w:t>Publication of a new or revised edition of a textbook</w:t>
      </w:r>
      <w:r w:rsidR="009E79F5">
        <w:rPr>
          <w:color w:val="243142"/>
          <w:sz w:val="22"/>
          <w:szCs w:val="22"/>
        </w:rPr>
        <w:t>.</w:t>
      </w:r>
    </w:p>
    <w:p w14:paraId="3E67164E" w14:textId="77777777" w:rsidR="007F49D0" w:rsidRPr="006E0619" w:rsidRDefault="007F49D0" w:rsidP="002E1E92">
      <w:pPr>
        <w:pStyle w:val="ListParagraph"/>
        <w:numPr>
          <w:ilvl w:val="1"/>
          <w:numId w:val="2"/>
        </w:numPr>
        <w:ind w:left="1440"/>
        <w:rPr>
          <w:color w:val="243142"/>
          <w:sz w:val="22"/>
          <w:szCs w:val="22"/>
          <w:shd w:val="clear" w:color="auto" w:fill="FFFFFF"/>
        </w:rPr>
      </w:pPr>
      <w:r w:rsidRPr="006E0619">
        <w:rPr>
          <w:sz w:val="22"/>
          <w:szCs w:val="22"/>
        </w:rPr>
        <w:t>Other products/activity appropriately reviewed using standards established by the relevant discipline.</w:t>
      </w:r>
      <w:r w:rsidRPr="006E0619">
        <w:rPr>
          <w:color w:val="243142"/>
          <w:sz w:val="22"/>
          <w:szCs w:val="22"/>
          <w:shd w:val="clear" w:color="auto" w:fill="FFFFFF"/>
        </w:rPr>
        <w:t xml:space="preserve"> </w:t>
      </w:r>
    </w:p>
    <w:p w14:paraId="3FC84C32" w14:textId="4D8E7FD3" w:rsidR="002E1E92" w:rsidRDefault="002E1E92" w:rsidP="002E1E92">
      <w:pPr>
        <w:pStyle w:val="ListParagraph"/>
        <w:numPr>
          <w:ilvl w:val="1"/>
          <w:numId w:val="2"/>
        </w:numPr>
        <w:ind w:left="1440"/>
        <w:rPr>
          <w:color w:val="243142"/>
          <w:sz w:val="22"/>
          <w:szCs w:val="22"/>
          <w:shd w:val="clear" w:color="auto" w:fill="FFFFFF"/>
        </w:rPr>
      </w:pPr>
      <w:r w:rsidRPr="006E0619">
        <w:rPr>
          <w:color w:val="243142"/>
          <w:sz w:val="22"/>
          <w:szCs w:val="22"/>
          <w:shd w:val="clear" w:color="auto" w:fill="FFFFFF"/>
        </w:rPr>
        <w:t>Grants relate</w:t>
      </w:r>
      <w:r w:rsidRPr="00FF4EF0">
        <w:rPr>
          <w:color w:val="243142"/>
          <w:sz w:val="22"/>
          <w:szCs w:val="22"/>
          <w:shd w:val="clear" w:color="auto" w:fill="FFFFFF"/>
        </w:rPr>
        <w:t>d to teaching</w:t>
      </w:r>
      <w:r w:rsidR="009E79F5">
        <w:rPr>
          <w:color w:val="243142"/>
          <w:sz w:val="22"/>
          <w:szCs w:val="22"/>
          <w:shd w:val="clear" w:color="auto" w:fill="FFFFFF"/>
        </w:rPr>
        <w:t>.</w:t>
      </w:r>
    </w:p>
    <w:p w14:paraId="021FEE16" w14:textId="77777777" w:rsidR="002E1E92" w:rsidRPr="00666C2F" w:rsidRDefault="002E1E92" w:rsidP="002E1E92">
      <w:pPr>
        <w:pStyle w:val="ListParagraph"/>
        <w:numPr>
          <w:ilvl w:val="1"/>
          <w:numId w:val="2"/>
        </w:numPr>
        <w:ind w:left="1440"/>
        <w:rPr>
          <w:color w:val="243142"/>
          <w:sz w:val="22"/>
          <w:szCs w:val="22"/>
          <w:shd w:val="clear" w:color="auto" w:fill="FFFFFF"/>
        </w:rPr>
      </w:pPr>
      <w:r>
        <w:rPr>
          <w:color w:val="243142"/>
          <w:sz w:val="22"/>
          <w:szCs w:val="22"/>
          <w:shd w:val="clear" w:color="auto" w:fill="FFFFFF"/>
        </w:rPr>
        <w:t>Implementation and documentation of High Impact Practices (HIP)</w:t>
      </w:r>
    </w:p>
    <w:p w14:paraId="1DFD8641" w14:textId="25A2E36E" w:rsidR="002E1E92" w:rsidRPr="00FF4EF0" w:rsidRDefault="002E1E92" w:rsidP="002E1E92">
      <w:pPr>
        <w:pStyle w:val="ListParagraph"/>
        <w:numPr>
          <w:ilvl w:val="1"/>
          <w:numId w:val="2"/>
        </w:numPr>
        <w:ind w:left="1440"/>
        <w:rPr>
          <w:color w:val="243142"/>
          <w:sz w:val="22"/>
          <w:szCs w:val="22"/>
          <w:shd w:val="clear" w:color="auto" w:fill="FFFFFF"/>
        </w:rPr>
      </w:pPr>
      <w:r w:rsidRPr="00FF4EF0">
        <w:rPr>
          <w:sz w:val="22"/>
          <w:szCs w:val="22"/>
        </w:rPr>
        <w:t>Directing substantial projects with students outside the classroom (e.g., MA theses</w:t>
      </w:r>
      <w:r w:rsidR="00DE3977">
        <w:rPr>
          <w:sz w:val="22"/>
          <w:szCs w:val="22"/>
        </w:rPr>
        <w:t>,</w:t>
      </w:r>
      <w:r>
        <w:rPr>
          <w:sz w:val="22"/>
          <w:szCs w:val="22"/>
        </w:rPr>
        <w:t xml:space="preserve"> </w:t>
      </w:r>
      <w:r w:rsidRPr="00FF4EF0">
        <w:rPr>
          <w:sz w:val="22"/>
          <w:szCs w:val="22"/>
        </w:rPr>
        <w:t>independent studies, directed research or writing projects).</w:t>
      </w:r>
      <w:r w:rsidRPr="00FF4EF0">
        <w:rPr>
          <w:color w:val="243142"/>
          <w:sz w:val="22"/>
          <w:szCs w:val="22"/>
          <w:shd w:val="clear" w:color="auto" w:fill="FFFFFF"/>
        </w:rPr>
        <w:t xml:space="preserve"> </w:t>
      </w:r>
    </w:p>
    <w:p w14:paraId="1F337CED" w14:textId="77777777" w:rsidR="00632EF6" w:rsidRPr="00FF4EF0" w:rsidRDefault="00632EF6" w:rsidP="00632EF6">
      <w:pPr>
        <w:pStyle w:val="ListParagraph"/>
        <w:numPr>
          <w:ilvl w:val="1"/>
          <w:numId w:val="2"/>
        </w:numPr>
        <w:ind w:left="1440"/>
        <w:rPr>
          <w:color w:val="243142"/>
          <w:sz w:val="22"/>
          <w:szCs w:val="22"/>
          <w:shd w:val="clear" w:color="auto" w:fill="FFFFFF"/>
        </w:rPr>
      </w:pPr>
      <w:r w:rsidRPr="007941B4">
        <w:rPr>
          <w:color w:val="243142"/>
          <w:sz w:val="22"/>
          <w:szCs w:val="22"/>
          <w:shd w:val="clear" w:color="auto" w:fill="FFFFFF"/>
        </w:rPr>
        <w:t>Substantial</w:t>
      </w:r>
      <w:r w:rsidRPr="00FF4EF0">
        <w:rPr>
          <w:color w:val="243142"/>
          <w:sz w:val="22"/>
          <w:szCs w:val="22"/>
          <w:shd w:val="clear" w:color="auto" w:fill="FFFFFF"/>
        </w:rPr>
        <w:t xml:space="preserve"> and documented mentoring of students.</w:t>
      </w:r>
    </w:p>
    <w:p w14:paraId="154C64EB" w14:textId="77777777" w:rsidR="00632EF6" w:rsidRDefault="00632EF6" w:rsidP="00632EF6">
      <w:pPr>
        <w:pStyle w:val="ListParagraph"/>
        <w:numPr>
          <w:ilvl w:val="1"/>
          <w:numId w:val="2"/>
        </w:numPr>
        <w:ind w:left="1440"/>
        <w:rPr>
          <w:color w:val="243142"/>
          <w:sz w:val="22"/>
          <w:szCs w:val="22"/>
          <w:shd w:val="clear" w:color="auto" w:fill="FFFFFF"/>
        </w:rPr>
      </w:pPr>
      <w:r w:rsidRPr="00FF4EF0">
        <w:rPr>
          <w:color w:val="243142"/>
          <w:sz w:val="22"/>
          <w:szCs w:val="22"/>
          <w:shd w:val="clear" w:color="auto" w:fill="FFFFFF"/>
        </w:rPr>
        <w:t>Winning a teaching award</w:t>
      </w:r>
      <w:r>
        <w:rPr>
          <w:color w:val="243142"/>
          <w:sz w:val="22"/>
          <w:szCs w:val="22"/>
          <w:shd w:val="clear" w:color="auto" w:fill="FFFFFF"/>
        </w:rPr>
        <w:t xml:space="preserve"> or other notable recognition (e.g., appointment to FACET).</w:t>
      </w:r>
    </w:p>
    <w:p w14:paraId="2EC85687" w14:textId="77777777" w:rsidR="00632EF6" w:rsidRPr="006E0619" w:rsidRDefault="00632EF6" w:rsidP="00632EF6">
      <w:pPr>
        <w:pStyle w:val="ListParagraph"/>
        <w:numPr>
          <w:ilvl w:val="1"/>
          <w:numId w:val="2"/>
        </w:numPr>
        <w:ind w:left="1440"/>
        <w:rPr>
          <w:color w:val="243142"/>
          <w:sz w:val="22"/>
          <w:szCs w:val="22"/>
          <w:shd w:val="clear" w:color="auto" w:fill="FFFFFF"/>
        </w:rPr>
      </w:pPr>
      <w:r>
        <w:rPr>
          <w:color w:val="243142"/>
          <w:sz w:val="22"/>
          <w:szCs w:val="22"/>
          <w:shd w:val="clear" w:color="auto" w:fill="FFFFFF"/>
        </w:rPr>
        <w:t xml:space="preserve">Professional development and pedagogical leadership, including </w:t>
      </w:r>
      <w:r>
        <w:rPr>
          <w:sz w:val="22"/>
          <w:szCs w:val="22"/>
        </w:rPr>
        <w:t>i</w:t>
      </w:r>
      <w:r w:rsidRPr="006E0619">
        <w:rPr>
          <w:sz w:val="22"/>
          <w:szCs w:val="22"/>
        </w:rPr>
        <w:t xml:space="preserve">nstitutional professional development opportunities </w:t>
      </w:r>
      <w:r>
        <w:rPr>
          <w:sz w:val="22"/>
          <w:szCs w:val="22"/>
        </w:rPr>
        <w:t xml:space="preserve">that have </w:t>
      </w:r>
      <w:r w:rsidRPr="006E0619">
        <w:rPr>
          <w:color w:val="243142"/>
          <w:sz w:val="22"/>
          <w:szCs w:val="22"/>
          <w:shd w:val="clear" w:color="auto" w:fill="FFFFFF"/>
        </w:rPr>
        <w:t>stipends paid into university account</w:t>
      </w:r>
      <w:r>
        <w:rPr>
          <w:color w:val="243142"/>
          <w:sz w:val="22"/>
          <w:szCs w:val="22"/>
          <w:shd w:val="clear" w:color="auto" w:fill="FFFFFF"/>
        </w:rPr>
        <w:t>s</w:t>
      </w:r>
      <w:r w:rsidRPr="006E0619">
        <w:rPr>
          <w:color w:val="243142"/>
          <w:sz w:val="22"/>
          <w:szCs w:val="22"/>
          <w:shd w:val="clear" w:color="auto" w:fill="FFFFFF"/>
        </w:rPr>
        <w:t xml:space="preserve"> </w:t>
      </w:r>
      <w:r>
        <w:rPr>
          <w:color w:val="243142"/>
          <w:sz w:val="22"/>
          <w:szCs w:val="22"/>
          <w:shd w:val="clear" w:color="auto" w:fill="FFFFFF"/>
        </w:rPr>
        <w:t xml:space="preserve">to support scholarly work </w:t>
      </w:r>
      <w:r w:rsidRPr="006E0619">
        <w:rPr>
          <w:sz w:val="22"/>
          <w:szCs w:val="22"/>
        </w:rPr>
        <w:t>(e.g., Mosaic Faculty Fellows, Digital Gardener)</w:t>
      </w:r>
      <w:r>
        <w:rPr>
          <w:sz w:val="22"/>
          <w:szCs w:val="22"/>
        </w:rPr>
        <w:t>.</w:t>
      </w:r>
    </w:p>
    <w:p w14:paraId="4CB1ECD4" w14:textId="77777777" w:rsidR="002E1E92" w:rsidRDefault="002E1E92" w:rsidP="002E1E92">
      <w:pPr>
        <w:pStyle w:val="BodyText"/>
        <w:kinsoku w:val="0"/>
        <w:overflowPunct w:val="0"/>
        <w:ind w:left="0"/>
        <w:rPr>
          <w:rFonts w:ascii="Times New Roman" w:hAnsi="Times New Roman" w:cs="Times New Roman"/>
          <w:sz w:val="22"/>
          <w:szCs w:val="22"/>
        </w:rPr>
      </w:pPr>
    </w:p>
    <w:p w14:paraId="2E63168D" w14:textId="77777777" w:rsidR="00E875AD" w:rsidRDefault="00E875AD" w:rsidP="00E875AD">
      <w:pPr>
        <w:pStyle w:val="BodyText"/>
        <w:kinsoku w:val="0"/>
        <w:overflowPunct w:val="0"/>
        <w:ind w:left="0"/>
        <w:rPr>
          <w:rFonts w:ascii="Times New Roman" w:hAnsi="Times New Roman" w:cs="Times New Roman"/>
          <w:sz w:val="22"/>
          <w:szCs w:val="22"/>
        </w:rPr>
      </w:pPr>
      <w:r>
        <w:rPr>
          <w:rFonts w:ascii="Times New Roman" w:hAnsi="Times New Roman" w:cs="Times New Roman"/>
          <w:sz w:val="22"/>
          <w:szCs w:val="22"/>
        </w:rPr>
        <w:t>NOTES</w:t>
      </w:r>
    </w:p>
    <w:p w14:paraId="2A64E80E" w14:textId="77777777" w:rsidR="00E875AD" w:rsidRPr="0054564D" w:rsidRDefault="00E875AD" w:rsidP="00E875AD">
      <w:pPr>
        <w:pStyle w:val="ListParagraph"/>
        <w:numPr>
          <w:ilvl w:val="0"/>
          <w:numId w:val="11"/>
        </w:numPr>
        <w:rPr>
          <w:sz w:val="20"/>
          <w:szCs w:val="20"/>
        </w:rPr>
      </w:pPr>
      <w:r w:rsidRPr="00BD72EA">
        <w:rPr>
          <w:sz w:val="20"/>
          <w:szCs w:val="20"/>
        </w:rPr>
        <w:t xml:space="preserve">If faculty receive additional </w:t>
      </w:r>
      <w:r>
        <w:rPr>
          <w:sz w:val="20"/>
          <w:szCs w:val="20"/>
        </w:rPr>
        <w:t xml:space="preserve">“take home” </w:t>
      </w:r>
      <w:r w:rsidRPr="00BD72EA">
        <w:rPr>
          <w:sz w:val="20"/>
          <w:szCs w:val="20"/>
        </w:rPr>
        <w:t>pay during the academic year for overload teaching</w:t>
      </w:r>
      <w:r>
        <w:rPr>
          <w:sz w:val="20"/>
          <w:szCs w:val="20"/>
        </w:rPr>
        <w:t xml:space="preserve"> </w:t>
      </w:r>
      <w:r w:rsidRPr="00C21FA3">
        <w:rPr>
          <w:sz w:val="20"/>
          <w:szCs w:val="20"/>
        </w:rPr>
        <w:t>or other teaching-related work</w:t>
      </w:r>
      <w:r>
        <w:rPr>
          <w:sz w:val="20"/>
          <w:szCs w:val="20"/>
        </w:rPr>
        <w:t xml:space="preserve"> </w:t>
      </w:r>
      <w:r w:rsidRPr="009A0B9F">
        <w:rPr>
          <w:sz w:val="20"/>
          <w:szCs w:val="20"/>
        </w:rPr>
        <w:t xml:space="preserve">or have </w:t>
      </w:r>
      <w:r w:rsidRPr="00462A53">
        <w:rPr>
          <w:sz w:val="20"/>
          <w:szCs w:val="20"/>
        </w:rPr>
        <w:t>a course bought out</w:t>
      </w:r>
      <w:r w:rsidRPr="009A0B9F">
        <w:rPr>
          <w:sz w:val="20"/>
          <w:szCs w:val="20"/>
        </w:rPr>
        <w:t xml:space="preserve"> for</w:t>
      </w:r>
      <w:r>
        <w:rPr>
          <w:sz w:val="20"/>
          <w:szCs w:val="20"/>
        </w:rPr>
        <w:t xml:space="preserve"> other teaching-related work</w:t>
      </w:r>
      <w:r w:rsidRPr="00BD72EA">
        <w:rPr>
          <w:sz w:val="20"/>
          <w:szCs w:val="20"/>
        </w:rPr>
        <w:t xml:space="preserve">, that compensated effort </w:t>
      </w:r>
      <w:r>
        <w:rPr>
          <w:sz w:val="20"/>
          <w:szCs w:val="20"/>
        </w:rPr>
        <w:t xml:space="preserve">on its own </w:t>
      </w:r>
      <w:r w:rsidRPr="00BD72EA">
        <w:rPr>
          <w:sz w:val="20"/>
          <w:szCs w:val="20"/>
        </w:rPr>
        <w:t>is not typically considered as work that “exceeds” expectations</w:t>
      </w:r>
      <w:r>
        <w:rPr>
          <w:sz w:val="20"/>
          <w:szCs w:val="20"/>
        </w:rPr>
        <w:t xml:space="preserve"> and does not change the workload distribution.  (Professional development funds placed into a university account and stipends that accompany teaching awards for excellence </w:t>
      </w:r>
      <w:r w:rsidRPr="002F5F57">
        <w:rPr>
          <w:sz w:val="20"/>
          <w:szCs w:val="20"/>
          <w:u w:val="single"/>
        </w:rPr>
        <w:t>are not</w:t>
      </w:r>
      <w:r>
        <w:rPr>
          <w:sz w:val="20"/>
          <w:szCs w:val="20"/>
        </w:rPr>
        <w:t xml:space="preserve"> considered additional take home pay in this context.)</w:t>
      </w:r>
    </w:p>
    <w:p w14:paraId="7C2729D7" w14:textId="77777777" w:rsidR="00E875AD" w:rsidRPr="0054564D" w:rsidRDefault="00E875AD" w:rsidP="00E875AD">
      <w:pPr>
        <w:pStyle w:val="ListParagraph"/>
        <w:numPr>
          <w:ilvl w:val="0"/>
          <w:numId w:val="11"/>
        </w:numPr>
        <w:rPr>
          <w:sz w:val="20"/>
          <w:szCs w:val="20"/>
        </w:rPr>
      </w:pPr>
      <w:r>
        <w:rPr>
          <w:sz w:val="20"/>
          <w:szCs w:val="20"/>
        </w:rPr>
        <w:t>See additional comments on teaching in the Appendix at the end of this document.</w:t>
      </w:r>
    </w:p>
    <w:p w14:paraId="77A35145" w14:textId="77777777" w:rsidR="00B90E2F" w:rsidRDefault="00B90E2F" w:rsidP="00C16AF7">
      <w:pPr>
        <w:pStyle w:val="BodyText"/>
        <w:kinsoku w:val="0"/>
        <w:overflowPunct w:val="0"/>
        <w:ind w:left="0"/>
        <w:rPr>
          <w:rFonts w:ascii="Times New Roman" w:hAnsi="Times New Roman" w:cs="Times New Roman"/>
          <w:sz w:val="22"/>
          <w:szCs w:val="22"/>
        </w:rPr>
      </w:pPr>
    </w:p>
    <w:p w14:paraId="2DACF286" w14:textId="77777777" w:rsidR="00C4235A" w:rsidRPr="00FF4EF0" w:rsidRDefault="00C4235A" w:rsidP="00C4235A">
      <w:pPr>
        <w:rPr>
          <w:b/>
          <w:bCs/>
          <w:color w:val="243142"/>
          <w:sz w:val="28"/>
          <w:szCs w:val="28"/>
          <w:shd w:val="clear" w:color="auto" w:fill="FFFFFF"/>
        </w:rPr>
      </w:pPr>
      <w:r w:rsidRPr="00FF4EF0">
        <w:rPr>
          <w:b/>
          <w:bCs/>
          <w:color w:val="243142"/>
          <w:sz w:val="28"/>
          <w:szCs w:val="28"/>
          <w:shd w:val="clear" w:color="auto" w:fill="FFFFFF"/>
        </w:rPr>
        <w:t>Service</w:t>
      </w:r>
    </w:p>
    <w:p w14:paraId="5EE0DD16" w14:textId="77777777" w:rsidR="00C4235A" w:rsidRPr="00FF4EF0" w:rsidRDefault="00C4235A" w:rsidP="00C4235A">
      <w:pPr>
        <w:rPr>
          <w:b/>
          <w:bCs/>
          <w:i/>
          <w:iCs/>
          <w:color w:val="243142"/>
          <w:sz w:val="22"/>
          <w:szCs w:val="22"/>
          <w:shd w:val="clear" w:color="auto" w:fill="FFFFFF"/>
        </w:rPr>
      </w:pPr>
      <w:r w:rsidRPr="00FF4EF0">
        <w:rPr>
          <w:b/>
          <w:bCs/>
          <w:i/>
          <w:iCs/>
          <w:color w:val="243142"/>
          <w:sz w:val="22"/>
          <w:szCs w:val="22"/>
          <w:shd w:val="clear" w:color="auto" w:fill="FFFFFF"/>
        </w:rPr>
        <w:t xml:space="preserve">Service that </w:t>
      </w:r>
      <w:r w:rsidRPr="00FF4EF0">
        <w:rPr>
          <w:b/>
          <w:bCs/>
          <w:i/>
          <w:iCs/>
          <w:color w:val="243142"/>
          <w:sz w:val="22"/>
          <w:szCs w:val="22"/>
          <w:u w:val="single"/>
          <w:shd w:val="clear" w:color="auto" w:fill="FFFFFF"/>
        </w:rPr>
        <w:t>meets</w:t>
      </w:r>
      <w:r w:rsidRPr="00FF4EF0">
        <w:rPr>
          <w:b/>
          <w:bCs/>
          <w:i/>
          <w:iCs/>
          <w:color w:val="243142"/>
          <w:sz w:val="22"/>
          <w:szCs w:val="22"/>
          <w:shd w:val="clear" w:color="auto" w:fill="FFFFFF"/>
        </w:rPr>
        <w:t xml:space="preserve"> </w:t>
      </w:r>
      <w:r>
        <w:rPr>
          <w:b/>
          <w:bCs/>
          <w:i/>
          <w:iCs/>
          <w:color w:val="0A0A0A"/>
          <w:sz w:val="22"/>
          <w:szCs w:val="22"/>
        </w:rPr>
        <w:t xml:space="preserve">productivity </w:t>
      </w:r>
      <w:r w:rsidRPr="00FF4EF0">
        <w:rPr>
          <w:b/>
          <w:bCs/>
          <w:i/>
          <w:iCs/>
          <w:color w:val="243142"/>
          <w:sz w:val="22"/>
          <w:szCs w:val="22"/>
          <w:shd w:val="clear" w:color="auto" w:fill="FFFFFF"/>
        </w:rPr>
        <w:t>expectations</w:t>
      </w:r>
    </w:p>
    <w:p w14:paraId="738E9019" w14:textId="65C6FE2C" w:rsidR="00C4235A" w:rsidRPr="00FF4EF0" w:rsidRDefault="00C4235A" w:rsidP="00C4235A">
      <w:pPr>
        <w:rPr>
          <w:color w:val="243142"/>
          <w:sz w:val="22"/>
          <w:szCs w:val="22"/>
          <w:shd w:val="clear" w:color="auto" w:fill="FFFFFF"/>
        </w:rPr>
      </w:pPr>
      <w:r w:rsidRPr="00FF4EF0">
        <w:rPr>
          <w:color w:val="0A0A0A"/>
          <w:sz w:val="22"/>
          <w:szCs w:val="22"/>
        </w:rPr>
        <w:t xml:space="preserve">Service is the responsibility of every faculty member. </w:t>
      </w:r>
      <w:r w:rsidRPr="00FF4EF0">
        <w:rPr>
          <w:color w:val="243142"/>
          <w:sz w:val="22"/>
          <w:szCs w:val="22"/>
          <w:shd w:val="clear" w:color="auto" w:fill="FFFFFF"/>
        </w:rPr>
        <w:t xml:space="preserve">No full-time faculty in the School of Liberal Arts is exempt from service responsibilities, except when on leave.  In most cases, unless service time is bought out with grants or other external funding, or is </w:t>
      </w:r>
      <w:r w:rsidRPr="00FF4EF0">
        <w:rPr>
          <w:color w:val="243142"/>
          <w:sz w:val="22"/>
          <w:szCs w:val="22"/>
        </w:rPr>
        <w:t xml:space="preserve">approved otherwise by </w:t>
      </w:r>
      <w:r w:rsidRPr="00FF4EF0">
        <w:rPr>
          <w:color w:val="243142"/>
          <w:sz w:val="22"/>
          <w:szCs w:val="22"/>
          <w:shd w:val="clear" w:color="auto" w:fill="FFFFFF"/>
        </w:rPr>
        <w:t xml:space="preserve">the Dean, faculty are expected to contribute 20% of their effort each year toward service to the department/program, school, campus, university, community, and/or profession. </w:t>
      </w:r>
    </w:p>
    <w:p w14:paraId="3F3AF9A1" w14:textId="77777777" w:rsidR="00C4235A" w:rsidRPr="00FF4EF0" w:rsidRDefault="00C4235A" w:rsidP="00C4235A">
      <w:pPr>
        <w:rPr>
          <w:color w:val="243142"/>
          <w:sz w:val="22"/>
          <w:szCs w:val="22"/>
          <w:shd w:val="clear" w:color="auto" w:fill="FFFFFF"/>
        </w:rPr>
      </w:pPr>
    </w:p>
    <w:p w14:paraId="54877A91" w14:textId="77777777" w:rsidR="00C4235A" w:rsidRPr="00FF4EF0" w:rsidRDefault="00C4235A" w:rsidP="00210642">
      <w:pPr>
        <w:keepNext/>
        <w:rPr>
          <w:color w:val="243142"/>
          <w:sz w:val="22"/>
          <w:szCs w:val="22"/>
          <w:shd w:val="clear" w:color="auto" w:fill="FFFFFF"/>
        </w:rPr>
      </w:pPr>
      <w:r w:rsidRPr="00FF4EF0">
        <w:rPr>
          <w:color w:val="243142"/>
          <w:sz w:val="22"/>
          <w:szCs w:val="22"/>
          <w:shd w:val="clear" w:color="auto" w:fill="FFFFFF"/>
        </w:rPr>
        <w:lastRenderedPageBreak/>
        <w:t xml:space="preserve">Service that </w:t>
      </w:r>
      <w:r w:rsidRPr="00FF4EF0">
        <w:rPr>
          <w:color w:val="243142"/>
          <w:sz w:val="22"/>
          <w:szCs w:val="22"/>
          <w:u w:val="single"/>
          <w:shd w:val="clear" w:color="auto" w:fill="FFFFFF"/>
        </w:rPr>
        <w:t>meets</w:t>
      </w:r>
      <w:r w:rsidRPr="00FF4EF0">
        <w:rPr>
          <w:color w:val="243142"/>
          <w:sz w:val="22"/>
          <w:szCs w:val="22"/>
          <w:shd w:val="clear" w:color="auto" w:fill="FFFFFF"/>
        </w:rPr>
        <w:t xml:space="preserve"> expectations includes </w:t>
      </w:r>
      <w:r w:rsidRPr="00FF4EF0">
        <w:rPr>
          <w:color w:val="243142"/>
          <w:sz w:val="22"/>
          <w:szCs w:val="22"/>
          <w:u w:val="single"/>
          <w:shd w:val="clear" w:color="auto" w:fill="FFFFFF"/>
        </w:rPr>
        <w:t>all the following</w:t>
      </w:r>
      <w:r w:rsidRPr="00FF4EF0">
        <w:rPr>
          <w:color w:val="243142"/>
          <w:sz w:val="22"/>
          <w:szCs w:val="22"/>
          <w:shd w:val="clear" w:color="auto" w:fill="FFFFFF"/>
        </w:rPr>
        <w:t>:</w:t>
      </w:r>
    </w:p>
    <w:p w14:paraId="6C75E7C9" w14:textId="77777777" w:rsidR="00C4235A" w:rsidRPr="00FF4EF0" w:rsidRDefault="00C4235A" w:rsidP="00C4235A">
      <w:pPr>
        <w:pStyle w:val="ListParagraph"/>
        <w:numPr>
          <w:ilvl w:val="0"/>
          <w:numId w:val="10"/>
        </w:numPr>
        <w:rPr>
          <w:color w:val="0A0A0A"/>
          <w:sz w:val="22"/>
          <w:szCs w:val="22"/>
        </w:rPr>
      </w:pPr>
      <w:r w:rsidRPr="00FF4EF0">
        <w:rPr>
          <w:i/>
          <w:iCs/>
          <w:color w:val="243142"/>
          <w:sz w:val="22"/>
          <w:szCs w:val="22"/>
        </w:rPr>
        <w:t>Being physically present weekly on campus</w:t>
      </w:r>
      <w:r w:rsidRPr="00FF4EF0">
        <w:rPr>
          <w:color w:val="243142"/>
          <w:sz w:val="22"/>
          <w:szCs w:val="22"/>
        </w:rPr>
        <w:t xml:space="preserve"> at least two days per week and available to engage in discussions with colleagues, staff and students during the academic year.</w:t>
      </w:r>
    </w:p>
    <w:p w14:paraId="024A056E" w14:textId="77777777" w:rsidR="00C4235A" w:rsidRPr="00FF4EF0" w:rsidRDefault="00C4235A" w:rsidP="00C4235A">
      <w:pPr>
        <w:pStyle w:val="ListParagraph"/>
        <w:numPr>
          <w:ilvl w:val="0"/>
          <w:numId w:val="10"/>
        </w:numPr>
        <w:rPr>
          <w:color w:val="243142"/>
          <w:sz w:val="22"/>
          <w:szCs w:val="22"/>
          <w:shd w:val="clear" w:color="auto" w:fill="FFFFFF"/>
        </w:rPr>
      </w:pPr>
      <w:r w:rsidRPr="00FF4EF0">
        <w:rPr>
          <w:color w:val="243142"/>
          <w:sz w:val="22"/>
          <w:szCs w:val="22"/>
          <w:shd w:val="clear" w:color="auto" w:fill="FFFFFF"/>
        </w:rPr>
        <w:t xml:space="preserve">Regular </w:t>
      </w:r>
      <w:r w:rsidRPr="00FF4EF0">
        <w:rPr>
          <w:color w:val="243142"/>
          <w:sz w:val="22"/>
          <w:szCs w:val="22"/>
        </w:rPr>
        <w:t>attendance and</w:t>
      </w:r>
      <w:r w:rsidRPr="00FF4EF0">
        <w:rPr>
          <w:color w:val="243142"/>
          <w:sz w:val="22"/>
          <w:szCs w:val="22"/>
          <w:shd w:val="clear" w:color="auto" w:fill="FFFFFF"/>
        </w:rPr>
        <w:t xml:space="preserve"> active participation in department/program and school faculty meetings.</w:t>
      </w:r>
    </w:p>
    <w:p w14:paraId="6CBF06BA" w14:textId="02FC01FF" w:rsidR="00C4235A" w:rsidRPr="00FF4EF0" w:rsidRDefault="00C4235A" w:rsidP="00C4235A">
      <w:pPr>
        <w:pStyle w:val="ListParagraph"/>
        <w:numPr>
          <w:ilvl w:val="0"/>
          <w:numId w:val="10"/>
        </w:numPr>
        <w:rPr>
          <w:color w:val="243142"/>
          <w:sz w:val="22"/>
          <w:szCs w:val="22"/>
          <w:shd w:val="clear" w:color="auto" w:fill="FFFFFF"/>
        </w:rPr>
      </w:pPr>
      <w:r w:rsidRPr="00FF4EF0">
        <w:rPr>
          <w:color w:val="243142"/>
          <w:sz w:val="22"/>
          <w:szCs w:val="22"/>
          <w:shd w:val="clear" w:color="auto" w:fill="FFFFFF"/>
        </w:rPr>
        <w:t xml:space="preserve">Active and meaningful contribution to department/program committees as appropriate (e.g., annual review, </w:t>
      </w:r>
      <w:r w:rsidR="000751C6">
        <w:rPr>
          <w:color w:val="243142"/>
          <w:sz w:val="22"/>
          <w:szCs w:val="22"/>
          <w:shd w:val="clear" w:color="auto" w:fill="FFFFFF"/>
        </w:rPr>
        <w:t xml:space="preserve">promotion, </w:t>
      </w:r>
      <w:r w:rsidRPr="00FF4EF0">
        <w:rPr>
          <w:color w:val="243142"/>
          <w:sz w:val="22"/>
          <w:szCs w:val="22"/>
          <w:shd w:val="clear" w:color="auto" w:fill="FFFFFF"/>
        </w:rPr>
        <w:t>curriculum, search &amp; screen).</w:t>
      </w:r>
    </w:p>
    <w:p w14:paraId="77720F7F" w14:textId="77777777" w:rsidR="00C4235A" w:rsidRPr="00FF4EF0" w:rsidRDefault="00C4235A" w:rsidP="00C4235A">
      <w:pPr>
        <w:pStyle w:val="ListParagraph"/>
        <w:numPr>
          <w:ilvl w:val="0"/>
          <w:numId w:val="10"/>
        </w:numPr>
        <w:rPr>
          <w:color w:val="243142"/>
          <w:sz w:val="22"/>
          <w:szCs w:val="22"/>
          <w:shd w:val="clear" w:color="auto" w:fill="FFFFFF"/>
        </w:rPr>
      </w:pPr>
      <w:r w:rsidRPr="00FF4EF0">
        <w:rPr>
          <w:color w:val="243142"/>
          <w:sz w:val="22"/>
          <w:szCs w:val="22"/>
          <w:shd w:val="clear" w:color="auto" w:fill="FFFFFF"/>
        </w:rPr>
        <w:t>Substantive, regular, and timely contribution to department/program service needs (e.g., course scheduling, peer review, strategic planning).</w:t>
      </w:r>
    </w:p>
    <w:p w14:paraId="6DC96A8D" w14:textId="34B6F8AD" w:rsidR="00C4235A" w:rsidRPr="00FF4EF0" w:rsidRDefault="00C4235A" w:rsidP="00C4235A">
      <w:pPr>
        <w:pStyle w:val="ListParagraph"/>
        <w:numPr>
          <w:ilvl w:val="0"/>
          <w:numId w:val="10"/>
        </w:numPr>
        <w:rPr>
          <w:color w:val="243142"/>
          <w:sz w:val="22"/>
          <w:szCs w:val="22"/>
          <w:shd w:val="clear" w:color="auto" w:fill="FFFFFF"/>
        </w:rPr>
      </w:pPr>
      <w:r w:rsidRPr="00FF4EF0">
        <w:rPr>
          <w:color w:val="243142"/>
          <w:sz w:val="22"/>
          <w:szCs w:val="22"/>
          <w:shd w:val="clear" w:color="auto" w:fill="FFFFFF"/>
        </w:rPr>
        <w:t xml:space="preserve">Timely contributions with department/program service, reports, and communications expected of all </w:t>
      </w:r>
      <w:r w:rsidR="008B53A5">
        <w:rPr>
          <w:color w:val="243142"/>
          <w:sz w:val="22"/>
          <w:szCs w:val="22"/>
          <w:shd w:val="clear" w:color="auto" w:fill="FFFFFF"/>
        </w:rPr>
        <w:t>non-</w:t>
      </w:r>
      <w:r w:rsidRPr="00FF4EF0">
        <w:rPr>
          <w:color w:val="243142"/>
          <w:sz w:val="22"/>
          <w:szCs w:val="22"/>
          <w:shd w:val="clear" w:color="auto" w:fill="FFFFFF"/>
        </w:rPr>
        <w:t>tenure-line faculty in the unit.</w:t>
      </w:r>
    </w:p>
    <w:p w14:paraId="6309A752" w14:textId="77777777" w:rsidR="00C4235A" w:rsidRPr="00FF4EF0" w:rsidRDefault="00C4235A" w:rsidP="00C4235A">
      <w:pPr>
        <w:pStyle w:val="ListParagraph"/>
        <w:numPr>
          <w:ilvl w:val="0"/>
          <w:numId w:val="10"/>
        </w:numPr>
        <w:rPr>
          <w:color w:val="243142"/>
          <w:sz w:val="22"/>
          <w:szCs w:val="22"/>
          <w:shd w:val="clear" w:color="auto" w:fill="FFFFFF"/>
        </w:rPr>
      </w:pPr>
      <w:r>
        <w:rPr>
          <w:color w:val="243142"/>
          <w:sz w:val="22"/>
          <w:szCs w:val="22"/>
          <w:shd w:val="clear" w:color="auto" w:fill="FFFFFF"/>
        </w:rPr>
        <w:t>Staying up to date on required IU reports (e.g., Elements), trainings (e.g., FERPA), and attestations (e.g., Conflict of Interest and Commitment).</w:t>
      </w:r>
    </w:p>
    <w:p w14:paraId="34CAD072" w14:textId="77777777" w:rsidR="008D73B3" w:rsidRPr="00FF4EF0" w:rsidRDefault="008D73B3" w:rsidP="008D73B3">
      <w:pPr>
        <w:rPr>
          <w:color w:val="243142"/>
          <w:sz w:val="22"/>
          <w:szCs w:val="22"/>
          <w:shd w:val="clear" w:color="auto" w:fill="FFFFFF"/>
        </w:rPr>
      </w:pPr>
      <w:r w:rsidRPr="00FF4EF0">
        <w:rPr>
          <w:color w:val="243142"/>
          <w:sz w:val="22"/>
          <w:szCs w:val="22"/>
          <w:shd w:val="clear" w:color="auto" w:fill="FFFFFF"/>
        </w:rPr>
        <w:t xml:space="preserve">In addition, </w:t>
      </w:r>
      <w:r>
        <w:rPr>
          <w:color w:val="243142"/>
          <w:sz w:val="22"/>
          <w:szCs w:val="22"/>
          <w:shd w:val="clear" w:color="auto" w:fill="FFFFFF"/>
        </w:rPr>
        <w:t>at least one</w:t>
      </w:r>
      <w:r w:rsidRPr="00FF4EF0">
        <w:rPr>
          <w:color w:val="243142"/>
          <w:sz w:val="22"/>
          <w:szCs w:val="22"/>
          <w:shd w:val="clear" w:color="auto" w:fill="FFFFFF"/>
        </w:rPr>
        <w:t xml:space="preserve"> of the following:</w:t>
      </w:r>
    </w:p>
    <w:p w14:paraId="63AB7942" w14:textId="77777777" w:rsidR="008D73B3" w:rsidRDefault="008D73B3" w:rsidP="008D73B3">
      <w:pPr>
        <w:pStyle w:val="ListParagraph"/>
        <w:numPr>
          <w:ilvl w:val="1"/>
          <w:numId w:val="2"/>
        </w:numPr>
        <w:ind w:left="1042"/>
        <w:rPr>
          <w:color w:val="243142"/>
          <w:sz w:val="22"/>
          <w:szCs w:val="22"/>
          <w:shd w:val="clear" w:color="auto" w:fill="FFFFFF"/>
        </w:rPr>
      </w:pPr>
      <w:r w:rsidRPr="00FF4EF0">
        <w:rPr>
          <w:color w:val="243142"/>
          <w:sz w:val="22"/>
          <w:szCs w:val="22"/>
          <w:shd w:val="clear" w:color="auto" w:fill="FFFFFF"/>
        </w:rPr>
        <w:t>Active membership on a school/campus/IU faculty committee (including ad hoc)</w:t>
      </w:r>
    </w:p>
    <w:p w14:paraId="4457BCA2" w14:textId="77777777" w:rsidR="008D73B3" w:rsidRPr="00FF4EF0" w:rsidRDefault="008D73B3" w:rsidP="008D73B3">
      <w:pPr>
        <w:pStyle w:val="ListParagraph"/>
        <w:numPr>
          <w:ilvl w:val="1"/>
          <w:numId w:val="2"/>
        </w:numPr>
        <w:ind w:left="1042"/>
        <w:rPr>
          <w:color w:val="243142"/>
          <w:sz w:val="22"/>
          <w:szCs w:val="22"/>
          <w:shd w:val="clear" w:color="auto" w:fill="FFFFFF"/>
        </w:rPr>
      </w:pPr>
      <w:r w:rsidRPr="00FF4EF0">
        <w:rPr>
          <w:color w:val="243142"/>
          <w:sz w:val="22"/>
          <w:szCs w:val="22"/>
          <w:shd w:val="clear" w:color="auto" w:fill="FFFFFF"/>
        </w:rPr>
        <w:t>Advisor of student group/organization</w:t>
      </w:r>
    </w:p>
    <w:p w14:paraId="74EC5CA7" w14:textId="77777777" w:rsidR="008D73B3" w:rsidRPr="00FF4EF0" w:rsidRDefault="008D73B3" w:rsidP="008D73B3">
      <w:pPr>
        <w:pStyle w:val="ListParagraph"/>
        <w:numPr>
          <w:ilvl w:val="1"/>
          <w:numId w:val="2"/>
        </w:numPr>
        <w:ind w:left="1042"/>
        <w:rPr>
          <w:color w:val="243142"/>
          <w:sz w:val="22"/>
          <w:szCs w:val="22"/>
          <w:shd w:val="clear" w:color="auto" w:fill="FFFFFF"/>
        </w:rPr>
      </w:pPr>
      <w:r w:rsidRPr="00FF4EF0">
        <w:rPr>
          <w:color w:val="243142"/>
          <w:sz w:val="22"/>
          <w:szCs w:val="22"/>
          <w:shd w:val="clear" w:color="auto" w:fill="FFFFFF"/>
        </w:rPr>
        <w:t>Service to the profession (e.g., reviewing manuscripts, participating in editorial work)</w:t>
      </w:r>
    </w:p>
    <w:p w14:paraId="2AAB6FA6" w14:textId="77777777" w:rsidR="008D73B3" w:rsidRDefault="008D73B3" w:rsidP="008D73B3">
      <w:pPr>
        <w:pStyle w:val="ListParagraph"/>
        <w:numPr>
          <w:ilvl w:val="1"/>
          <w:numId w:val="2"/>
        </w:numPr>
        <w:ind w:left="1042"/>
        <w:rPr>
          <w:color w:val="243142"/>
          <w:sz w:val="22"/>
          <w:szCs w:val="22"/>
          <w:shd w:val="clear" w:color="auto" w:fill="FFFFFF"/>
        </w:rPr>
      </w:pPr>
      <w:r w:rsidRPr="00FF4EF0">
        <w:rPr>
          <w:color w:val="243142"/>
          <w:sz w:val="22"/>
          <w:szCs w:val="22"/>
          <w:shd w:val="clear" w:color="auto" w:fill="FFFFFF"/>
        </w:rPr>
        <w:t>Professional/engaged service to the community</w:t>
      </w:r>
    </w:p>
    <w:p w14:paraId="0DE70C3F" w14:textId="77777777" w:rsidR="008D73B3" w:rsidRPr="00FF4EF0" w:rsidRDefault="008D73B3" w:rsidP="008D73B3">
      <w:pPr>
        <w:pStyle w:val="ListParagraph"/>
        <w:numPr>
          <w:ilvl w:val="1"/>
          <w:numId w:val="2"/>
        </w:numPr>
        <w:ind w:left="1042"/>
        <w:rPr>
          <w:color w:val="243142"/>
          <w:sz w:val="22"/>
          <w:szCs w:val="22"/>
          <w:shd w:val="clear" w:color="auto" w:fill="FFFFFF"/>
        </w:rPr>
      </w:pPr>
      <w:r>
        <w:rPr>
          <w:color w:val="243142"/>
          <w:sz w:val="22"/>
          <w:szCs w:val="22"/>
          <w:shd w:val="clear" w:color="auto" w:fill="FFFFFF"/>
        </w:rPr>
        <w:t>Other documented service to the department, school, and/or campus.</w:t>
      </w:r>
    </w:p>
    <w:p w14:paraId="73CD97AA" w14:textId="77777777" w:rsidR="008D73B3" w:rsidRPr="00FF4EF0" w:rsidRDefault="008D73B3" w:rsidP="008D73B3">
      <w:pPr>
        <w:autoSpaceDE w:val="0"/>
        <w:autoSpaceDN w:val="0"/>
        <w:adjustRightInd w:val="0"/>
        <w:rPr>
          <w:color w:val="243142"/>
          <w:sz w:val="22"/>
          <w:szCs w:val="22"/>
          <w:shd w:val="clear" w:color="auto" w:fill="FFFFFF"/>
        </w:rPr>
      </w:pPr>
    </w:p>
    <w:p w14:paraId="3140393D" w14:textId="77777777" w:rsidR="008D73B3" w:rsidRPr="000603F3" w:rsidRDefault="008D73B3" w:rsidP="008D73B3">
      <w:pPr>
        <w:widowControl w:val="0"/>
        <w:rPr>
          <w:b/>
          <w:bCs/>
          <w:i/>
          <w:iCs/>
          <w:color w:val="243142"/>
          <w:sz w:val="22"/>
          <w:szCs w:val="22"/>
          <w:shd w:val="clear" w:color="auto" w:fill="FFFFFF"/>
        </w:rPr>
      </w:pPr>
      <w:r w:rsidRPr="00FF4EF0">
        <w:rPr>
          <w:b/>
          <w:bCs/>
          <w:i/>
          <w:iCs/>
          <w:color w:val="243142"/>
          <w:sz w:val="22"/>
          <w:szCs w:val="22"/>
          <w:shd w:val="clear" w:color="auto" w:fill="FFFFFF"/>
        </w:rPr>
        <w:t xml:space="preserve">Service that </w:t>
      </w:r>
      <w:r>
        <w:rPr>
          <w:b/>
          <w:bCs/>
          <w:i/>
          <w:iCs/>
          <w:color w:val="243142"/>
          <w:sz w:val="22"/>
          <w:szCs w:val="22"/>
          <w:u w:val="single"/>
          <w:shd w:val="clear" w:color="auto" w:fill="FFFFFF"/>
        </w:rPr>
        <w:t>does not meet</w:t>
      </w:r>
      <w:r w:rsidRPr="00FF4EF0">
        <w:rPr>
          <w:b/>
          <w:bCs/>
          <w:i/>
          <w:iCs/>
          <w:color w:val="243142"/>
          <w:sz w:val="22"/>
          <w:szCs w:val="22"/>
          <w:shd w:val="clear" w:color="auto" w:fill="FFFFFF"/>
        </w:rPr>
        <w:t xml:space="preserve"> </w:t>
      </w:r>
      <w:r>
        <w:rPr>
          <w:b/>
          <w:bCs/>
          <w:i/>
          <w:iCs/>
          <w:color w:val="0A0A0A"/>
          <w:sz w:val="22"/>
          <w:szCs w:val="22"/>
        </w:rPr>
        <w:t xml:space="preserve">productivity </w:t>
      </w:r>
      <w:r w:rsidRPr="00FF4EF0">
        <w:rPr>
          <w:b/>
          <w:bCs/>
          <w:i/>
          <w:iCs/>
          <w:color w:val="243142"/>
          <w:sz w:val="22"/>
          <w:szCs w:val="22"/>
          <w:shd w:val="clear" w:color="auto" w:fill="FFFFFF"/>
        </w:rPr>
        <w:t>expectations</w:t>
      </w:r>
    </w:p>
    <w:p w14:paraId="07E0A2F8" w14:textId="77777777" w:rsidR="008D73B3" w:rsidRPr="00FF4EF0" w:rsidRDefault="008D73B3" w:rsidP="008D73B3">
      <w:pPr>
        <w:autoSpaceDE w:val="0"/>
        <w:autoSpaceDN w:val="0"/>
        <w:adjustRightInd w:val="0"/>
        <w:rPr>
          <w:color w:val="0A0A0A"/>
          <w:sz w:val="22"/>
          <w:szCs w:val="22"/>
        </w:rPr>
      </w:pPr>
      <w:r w:rsidRPr="005D2CEE">
        <w:rPr>
          <w:color w:val="0A0A0A"/>
          <w:sz w:val="22"/>
          <w:szCs w:val="22"/>
        </w:rPr>
        <w:t xml:space="preserve">If </w:t>
      </w:r>
      <w:r>
        <w:rPr>
          <w:color w:val="0A0A0A"/>
          <w:sz w:val="22"/>
          <w:szCs w:val="22"/>
        </w:rPr>
        <w:t xml:space="preserve">above </w:t>
      </w:r>
      <w:r w:rsidRPr="005D2CEE">
        <w:rPr>
          <w:color w:val="0A0A0A"/>
          <w:sz w:val="22"/>
          <w:szCs w:val="22"/>
        </w:rPr>
        <w:t>expectations are not met</w:t>
      </w:r>
      <w:r w:rsidRPr="00FF4EF0">
        <w:rPr>
          <w:color w:val="0A0A0A"/>
          <w:sz w:val="22"/>
          <w:szCs w:val="22"/>
        </w:rPr>
        <w:t xml:space="preserve">, </w:t>
      </w:r>
      <w:r>
        <w:rPr>
          <w:color w:val="0A0A0A"/>
          <w:sz w:val="22"/>
          <w:szCs w:val="22"/>
        </w:rPr>
        <w:t>the faculty member is evaluated as “</w:t>
      </w:r>
      <w:r w:rsidRPr="000603F3">
        <w:rPr>
          <w:i/>
          <w:iCs/>
          <w:color w:val="0A0A0A"/>
          <w:sz w:val="22"/>
          <w:szCs w:val="22"/>
        </w:rPr>
        <w:t>does not meet productivity expectations</w:t>
      </w:r>
      <w:r>
        <w:rPr>
          <w:color w:val="0A0A0A"/>
          <w:sz w:val="22"/>
          <w:szCs w:val="22"/>
        </w:rPr>
        <w:t xml:space="preserve">” for service, </w:t>
      </w:r>
      <w:r w:rsidRPr="00955869">
        <w:rPr>
          <w:b/>
          <w:bCs/>
          <w:color w:val="0A0A0A"/>
          <w:sz w:val="22"/>
          <w:szCs w:val="22"/>
        </w:rPr>
        <w:t>AND</w:t>
      </w:r>
      <w:r>
        <w:rPr>
          <w:color w:val="0A0A0A"/>
          <w:sz w:val="22"/>
          <w:szCs w:val="22"/>
        </w:rPr>
        <w:t xml:space="preserve"> </w:t>
      </w:r>
      <w:r w:rsidRPr="00717756">
        <w:rPr>
          <w:color w:val="0A0A0A"/>
          <w:sz w:val="22"/>
          <w:szCs w:val="22"/>
          <w:u w:val="single"/>
        </w:rPr>
        <w:t>overall faculty effort</w:t>
      </w:r>
      <w:r w:rsidRPr="00FF4EF0">
        <w:rPr>
          <w:color w:val="0A0A0A"/>
          <w:sz w:val="22"/>
          <w:szCs w:val="22"/>
        </w:rPr>
        <w:t xml:space="preserve"> for the year </w:t>
      </w:r>
      <w:r>
        <w:rPr>
          <w:color w:val="0A0A0A"/>
          <w:sz w:val="22"/>
          <w:szCs w:val="22"/>
        </w:rPr>
        <w:t>will</w:t>
      </w:r>
      <w:r w:rsidRPr="00FF4EF0">
        <w:rPr>
          <w:color w:val="0A0A0A"/>
          <w:sz w:val="22"/>
          <w:szCs w:val="22"/>
        </w:rPr>
        <w:t xml:space="preserve"> be evaluated as “</w:t>
      </w:r>
      <w:r w:rsidRPr="002402EF">
        <w:rPr>
          <w:i/>
          <w:iCs/>
          <w:color w:val="0A0A0A"/>
          <w:sz w:val="22"/>
          <w:szCs w:val="22"/>
        </w:rPr>
        <w:t>does not meet productivity expectations</w:t>
      </w:r>
      <w:r w:rsidRPr="00FF4EF0">
        <w:rPr>
          <w:color w:val="0A0A0A"/>
          <w:sz w:val="22"/>
          <w:szCs w:val="22"/>
        </w:rPr>
        <w:t>” with a specific plan for addressing the concerns included on the annual review.</w:t>
      </w:r>
    </w:p>
    <w:p w14:paraId="4FD8B459" w14:textId="77777777" w:rsidR="008D73B3" w:rsidRPr="00FF4EF0" w:rsidRDefault="008D73B3" w:rsidP="008D73B3">
      <w:pPr>
        <w:autoSpaceDE w:val="0"/>
        <w:autoSpaceDN w:val="0"/>
        <w:adjustRightInd w:val="0"/>
        <w:rPr>
          <w:color w:val="243142"/>
          <w:sz w:val="22"/>
          <w:szCs w:val="22"/>
          <w:shd w:val="clear" w:color="auto" w:fill="FFFFFF"/>
        </w:rPr>
      </w:pPr>
    </w:p>
    <w:p w14:paraId="478B9346" w14:textId="77777777" w:rsidR="008D73B3" w:rsidRPr="00FF4EF0" w:rsidRDefault="008D73B3" w:rsidP="008D73B3">
      <w:pPr>
        <w:keepNext/>
        <w:rPr>
          <w:b/>
          <w:bCs/>
          <w:i/>
          <w:iCs/>
          <w:color w:val="243142"/>
          <w:sz w:val="22"/>
          <w:szCs w:val="22"/>
          <w:shd w:val="clear" w:color="auto" w:fill="FFFFFF"/>
        </w:rPr>
      </w:pPr>
      <w:r w:rsidRPr="00FF4EF0">
        <w:rPr>
          <w:b/>
          <w:bCs/>
          <w:i/>
          <w:iCs/>
          <w:color w:val="243142"/>
          <w:sz w:val="22"/>
          <w:szCs w:val="22"/>
          <w:shd w:val="clear" w:color="auto" w:fill="FFFFFF"/>
        </w:rPr>
        <w:t xml:space="preserve">Service that </w:t>
      </w:r>
      <w:r w:rsidRPr="00FF4EF0">
        <w:rPr>
          <w:b/>
          <w:bCs/>
          <w:i/>
          <w:iCs/>
          <w:color w:val="243142"/>
          <w:sz w:val="22"/>
          <w:szCs w:val="22"/>
          <w:u w:val="single"/>
          <w:shd w:val="clear" w:color="auto" w:fill="FFFFFF"/>
        </w:rPr>
        <w:t>exceeds</w:t>
      </w:r>
      <w:r w:rsidRPr="00FF4EF0">
        <w:rPr>
          <w:b/>
          <w:bCs/>
          <w:i/>
          <w:iCs/>
          <w:color w:val="243142"/>
          <w:sz w:val="22"/>
          <w:szCs w:val="22"/>
          <w:shd w:val="clear" w:color="auto" w:fill="FFFFFF"/>
        </w:rPr>
        <w:t xml:space="preserve"> </w:t>
      </w:r>
      <w:r>
        <w:rPr>
          <w:b/>
          <w:bCs/>
          <w:i/>
          <w:iCs/>
          <w:color w:val="0A0A0A"/>
          <w:sz w:val="22"/>
          <w:szCs w:val="22"/>
        </w:rPr>
        <w:t xml:space="preserve">productivity </w:t>
      </w:r>
      <w:r w:rsidRPr="00FF4EF0">
        <w:rPr>
          <w:b/>
          <w:bCs/>
          <w:i/>
          <w:iCs/>
          <w:color w:val="243142"/>
          <w:sz w:val="22"/>
          <w:szCs w:val="22"/>
          <w:shd w:val="clear" w:color="auto" w:fill="FFFFFF"/>
        </w:rPr>
        <w:t>expectations</w:t>
      </w:r>
    </w:p>
    <w:p w14:paraId="509DAF35" w14:textId="77777777" w:rsidR="008D73B3" w:rsidRPr="00FF4EF0" w:rsidRDefault="008D73B3" w:rsidP="008D73B3">
      <w:pPr>
        <w:rPr>
          <w:color w:val="243142"/>
          <w:sz w:val="22"/>
          <w:szCs w:val="22"/>
          <w:shd w:val="clear" w:color="auto" w:fill="FFFFFF"/>
        </w:rPr>
      </w:pPr>
      <w:r w:rsidRPr="00FF4EF0">
        <w:rPr>
          <w:color w:val="243142"/>
          <w:sz w:val="22"/>
          <w:szCs w:val="22"/>
          <w:shd w:val="clear" w:color="auto" w:fill="FFFFFF"/>
        </w:rPr>
        <w:t>Service that exceeds expectations assumes that basic service expectations are met and typically also reflects a higher than basic level of contribution and leadership</w:t>
      </w:r>
      <w:r w:rsidRPr="008961EE">
        <w:rPr>
          <w:sz w:val="22"/>
          <w:szCs w:val="22"/>
        </w:rPr>
        <w:t xml:space="preserve">. </w:t>
      </w:r>
      <w:r>
        <w:rPr>
          <w:color w:val="243142"/>
          <w:sz w:val="22"/>
          <w:szCs w:val="22"/>
          <w:shd w:val="clear" w:color="auto" w:fill="FFFFFF"/>
        </w:rPr>
        <w:t>Examples of service that may be considered exceeding expectations include, but are not limited to, significant contributions/leadership in the following areas:</w:t>
      </w:r>
    </w:p>
    <w:p w14:paraId="4C5768BB" w14:textId="77777777" w:rsidR="008D73B3" w:rsidRPr="00FF4EF0" w:rsidRDefault="008D73B3" w:rsidP="00CE741A">
      <w:pPr>
        <w:pStyle w:val="ListParagraph"/>
        <w:numPr>
          <w:ilvl w:val="0"/>
          <w:numId w:val="2"/>
        </w:numPr>
        <w:ind w:left="720"/>
        <w:rPr>
          <w:color w:val="243142"/>
          <w:sz w:val="22"/>
          <w:szCs w:val="22"/>
          <w:shd w:val="clear" w:color="auto" w:fill="FFFFFF"/>
        </w:rPr>
      </w:pPr>
      <w:r w:rsidRPr="00FF4EF0">
        <w:rPr>
          <w:color w:val="243142"/>
          <w:sz w:val="22"/>
          <w:szCs w:val="22"/>
          <w:shd w:val="clear" w:color="auto" w:fill="FFFFFF"/>
        </w:rPr>
        <w:t>one or more department/program committee or other unit service</w:t>
      </w:r>
    </w:p>
    <w:p w14:paraId="5059BE07" w14:textId="77777777" w:rsidR="008D73B3" w:rsidRPr="00FF4EF0" w:rsidRDefault="008D73B3" w:rsidP="00CE741A">
      <w:pPr>
        <w:pStyle w:val="ListParagraph"/>
        <w:numPr>
          <w:ilvl w:val="0"/>
          <w:numId w:val="2"/>
        </w:numPr>
        <w:ind w:left="720"/>
        <w:rPr>
          <w:color w:val="243142"/>
          <w:sz w:val="22"/>
          <w:szCs w:val="22"/>
          <w:shd w:val="clear" w:color="auto" w:fill="FFFFFF"/>
        </w:rPr>
      </w:pPr>
      <w:r w:rsidRPr="00FF4EF0">
        <w:rPr>
          <w:color w:val="243142"/>
          <w:sz w:val="22"/>
          <w:szCs w:val="22"/>
          <w:shd w:val="clear" w:color="auto" w:fill="FFFFFF"/>
        </w:rPr>
        <w:t>a school faculty committee/elected office</w:t>
      </w:r>
    </w:p>
    <w:p w14:paraId="1DDBE232" w14:textId="77777777" w:rsidR="008D73B3" w:rsidRPr="00FF4EF0" w:rsidRDefault="008D73B3" w:rsidP="00CE741A">
      <w:pPr>
        <w:pStyle w:val="ListParagraph"/>
        <w:numPr>
          <w:ilvl w:val="0"/>
          <w:numId w:val="2"/>
        </w:numPr>
        <w:ind w:left="720"/>
        <w:rPr>
          <w:color w:val="243142"/>
          <w:sz w:val="22"/>
          <w:szCs w:val="22"/>
          <w:shd w:val="clear" w:color="auto" w:fill="FFFFFF"/>
        </w:rPr>
      </w:pPr>
      <w:r w:rsidRPr="00FF4EF0">
        <w:rPr>
          <w:color w:val="243142"/>
          <w:sz w:val="22"/>
          <w:szCs w:val="22"/>
          <w:shd w:val="clear" w:color="auto" w:fill="FFFFFF"/>
        </w:rPr>
        <w:t>a department or interdisciplinary program (assuming no course release)</w:t>
      </w:r>
    </w:p>
    <w:p w14:paraId="17814EDD" w14:textId="77777777" w:rsidR="008D73B3" w:rsidRPr="00FF4EF0" w:rsidRDefault="008D73B3" w:rsidP="00CE741A">
      <w:pPr>
        <w:pStyle w:val="ListParagraph"/>
        <w:numPr>
          <w:ilvl w:val="0"/>
          <w:numId w:val="2"/>
        </w:numPr>
        <w:ind w:left="720"/>
        <w:rPr>
          <w:color w:val="243142"/>
          <w:sz w:val="22"/>
          <w:szCs w:val="22"/>
          <w:shd w:val="clear" w:color="auto" w:fill="FFFFFF"/>
        </w:rPr>
      </w:pPr>
      <w:r w:rsidRPr="00FF4EF0">
        <w:rPr>
          <w:color w:val="243142"/>
          <w:sz w:val="22"/>
          <w:szCs w:val="22"/>
          <w:shd w:val="clear" w:color="auto" w:fill="FFFFFF"/>
        </w:rPr>
        <w:t>a campus/IU faculty committee</w:t>
      </w:r>
    </w:p>
    <w:p w14:paraId="56BB3EB0" w14:textId="77777777" w:rsidR="008D73B3" w:rsidRPr="00FF4EF0" w:rsidRDefault="008D73B3" w:rsidP="00CE741A">
      <w:pPr>
        <w:pStyle w:val="ListParagraph"/>
        <w:numPr>
          <w:ilvl w:val="0"/>
          <w:numId w:val="2"/>
        </w:numPr>
        <w:ind w:left="720"/>
        <w:rPr>
          <w:color w:val="243142"/>
          <w:sz w:val="22"/>
          <w:szCs w:val="22"/>
          <w:shd w:val="clear" w:color="auto" w:fill="FFFFFF"/>
        </w:rPr>
      </w:pPr>
      <w:r w:rsidRPr="00FF4EF0">
        <w:rPr>
          <w:color w:val="243142"/>
          <w:sz w:val="22"/>
          <w:szCs w:val="22"/>
          <w:shd w:val="clear" w:color="auto" w:fill="FFFFFF"/>
        </w:rPr>
        <w:t xml:space="preserve">a committee of a professional/community-engaged organization </w:t>
      </w:r>
    </w:p>
    <w:p w14:paraId="6860CDF0" w14:textId="77777777" w:rsidR="008D73B3" w:rsidRPr="00FF4EF0" w:rsidRDefault="008D73B3" w:rsidP="008D73B3">
      <w:pPr>
        <w:rPr>
          <w:color w:val="243142"/>
          <w:sz w:val="22"/>
          <w:szCs w:val="22"/>
          <w:shd w:val="clear" w:color="auto" w:fill="FFFFFF"/>
        </w:rPr>
      </w:pPr>
      <w:r w:rsidRPr="00FF4EF0">
        <w:rPr>
          <w:color w:val="243142"/>
          <w:sz w:val="22"/>
          <w:szCs w:val="22"/>
          <w:shd w:val="clear" w:color="auto" w:fill="FFFFFF"/>
        </w:rPr>
        <w:t>Other types of service contributions to the department, school, campus, university, community, and/or profession may also be evaluated as exceeding expectations when documented, including publication or other peer-reviewed dissemination of service work.</w:t>
      </w:r>
    </w:p>
    <w:p w14:paraId="3B44E1B8" w14:textId="77777777" w:rsidR="00C4235A" w:rsidRDefault="00C4235A" w:rsidP="00C4235A">
      <w:pPr>
        <w:rPr>
          <w:color w:val="0A0A0A"/>
          <w:sz w:val="22"/>
          <w:szCs w:val="22"/>
        </w:rPr>
      </w:pPr>
    </w:p>
    <w:p w14:paraId="719D6629" w14:textId="77777777" w:rsidR="0074074B" w:rsidRDefault="0074074B" w:rsidP="0074074B">
      <w:pPr>
        <w:rPr>
          <w:color w:val="0A0A0A"/>
          <w:sz w:val="22"/>
          <w:szCs w:val="22"/>
        </w:rPr>
      </w:pPr>
      <w:r w:rsidRPr="008961EE">
        <w:rPr>
          <w:sz w:val="22"/>
          <w:szCs w:val="22"/>
        </w:rPr>
        <w:t xml:space="preserve">It is the responsibility of the faulty member to explain and document why service activity exceeds expectations </w:t>
      </w:r>
      <w:proofErr w:type="gramStart"/>
      <w:r w:rsidRPr="008961EE">
        <w:rPr>
          <w:sz w:val="22"/>
          <w:szCs w:val="22"/>
        </w:rPr>
        <w:t>with regard to</w:t>
      </w:r>
      <w:proofErr w:type="gramEnd"/>
      <w:r w:rsidRPr="008961EE">
        <w:rPr>
          <w:sz w:val="22"/>
          <w:szCs w:val="22"/>
        </w:rPr>
        <w:t xml:space="preserve"> either quantity or quality/impact, in keeping with </w:t>
      </w:r>
      <w:r>
        <w:rPr>
          <w:sz w:val="22"/>
          <w:szCs w:val="22"/>
        </w:rPr>
        <w:t xml:space="preserve">service </w:t>
      </w:r>
      <w:r w:rsidRPr="008961EE">
        <w:rPr>
          <w:sz w:val="22"/>
          <w:szCs w:val="22"/>
        </w:rPr>
        <w:t>workload distribution</w:t>
      </w:r>
      <w:r>
        <w:rPr>
          <w:sz w:val="22"/>
          <w:szCs w:val="22"/>
        </w:rPr>
        <w:t xml:space="preserve"> and department criteria</w:t>
      </w:r>
      <w:r w:rsidRPr="008961EE">
        <w:rPr>
          <w:sz w:val="22"/>
          <w:szCs w:val="22"/>
        </w:rPr>
        <w:t>.</w:t>
      </w:r>
    </w:p>
    <w:p w14:paraId="7CFC2ED4" w14:textId="77777777" w:rsidR="0074074B" w:rsidRDefault="0074074B" w:rsidP="00C4235A">
      <w:pPr>
        <w:rPr>
          <w:color w:val="0A0A0A"/>
          <w:sz w:val="22"/>
          <w:szCs w:val="22"/>
        </w:rPr>
      </w:pPr>
    </w:p>
    <w:p w14:paraId="150F300C" w14:textId="77777777" w:rsidR="0085743F" w:rsidRDefault="0085743F" w:rsidP="0085743F">
      <w:pPr>
        <w:keepNext/>
        <w:rPr>
          <w:color w:val="0A0A0A"/>
          <w:sz w:val="22"/>
          <w:szCs w:val="22"/>
        </w:rPr>
      </w:pPr>
      <w:r>
        <w:rPr>
          <w:color w:val="0A0A0A"/>
          <w:sz w:val="22"/>
          <w:szCs w:val="22"/>
        </w:rPr>
        <w:t>NOTES</w:t>
      </w:r>
    </w:p>
    <w:p w14:paraId="02B2FA54" w14:textId="77777777" w:rsidR="0085743F" w:rsidRDefault="0085743F" w:rsidP="0085743F">
      <w:pPr>
        <w:pStyle w:val="ListParagraph"/>
        <w:numPr>
          <w:ilvl w:val="0"/>
          <w:numId w:val="11"/>
        </w:numPr>
        <w:rPr>
          <w:color w:val="0A0A0A"/>
          <w:sz w:val="20"/>
          <w:szCs w:val="20"/>
        </w:rPr>
      </w:pPr>
      <w:r w:rsidRPr="00550D24">
        <w:rPr>
          <w:color w:val="0A0A0A"/>
          <w:sz w:val="20"/>
          <w:szCs w:val="20"/>
        </w:rPr>
        <w:t xml:space="preserve">In some cases, faculty receive course releases for program service/administration and the like (e.g., </w:t>
      </w:r>
      <w:r>
        <w:rPr>
          <w:color w:val="0A0A0A"/>
          <w:sz w:val="20"/>
          <w:szCs w:val="20"/>
        </w:rPr>
        <w:t xml:space="preserve">department chairs, </w:t>
      </w:r>
      <w:r w:rsidRPr="00550D24">
        <w:rPr>
          <w:color w:val="0A0A0A"/>
          <w:sz w:val="20"/>
          <w:szCs w:val="20"/>
        </w:rPr>
        <w:t xml:space="preserve">director of graduate studies, director of large program, etc.) or courses are bought out by other units to support their efforts (Division of Undergraduate Education, Honors College, Office of Academic Affairs, etc.).  </w:t>
      </w:r>
    </w:p>
    <w:p w14:paraId="273A244F" w14:textId="77777777" w:rsidR="0085743F" w:rsidRDefault="0085743F" w:rsidP="0085743F">
      <w:pPr>
        <w:pStyle w:val="ListParagraph"/>
        <w:numPr>
          <w:ilvl w:val="1"/>
          <w:numId w:val="11"/>
        </w:numPr>
        <w:rPr>
          <w:color w:val="0A0A0A"/>
          <w:sz w:val="20"/>
          <w:szCs w:val="20"/>
        </w:rPr>
      </w:pPr>
      <w:r>
        <w:rPr>
          <w:color w:val="0A0A0A"/>
          <w:sz w:val="20"/>
          <w:szCs w:val="20"/>
        </w:rPr>
        <w:t>Appointments that have</w:t>
      </w:r>
      <w:r w:rsidRPr="00550D24">
        <w:rPr>
          <w:color w:val="0A0A0A"/>
          <w:sz w:val="20"/>
          <w:szCs w:val="20"/>
        </w:rPr>
        <w:t xml:space="preserve"> releases/buyouts should include position descriptions.  </w:t>
      </w:r>
    </w:p>
    <w:p w14:paraId="7C8FC297" w14:textId="5DFF8100" w:rsidR="0085743F" w:rsidRPr="00F553EE" w:rsidRDefault="0085743F" w:rsidP="0085743F">
      <w:pPr>
        <w:pStyle w:val="ListParagraph"/>
        <w:numPr>
          <w:ilvl w:val="1"/>
          <w:numId w:val="11"/>
        </w:numPr>
        <w:rPr>
          <w:color w:val="0A0A0A"/>
          <w:sz w:val="20"/>
          <w:szCs w:val="20"/>
        </w:rPr>
      </w:pPr>
      <w:r w:rsidRPr="00550D24">
        <w:rPr>
          <w:bCs/>
          <w:sz w:val="20"/>
          <w:szCs w:val="20"/>
        </w:rPr>
        <w:t>In most cases, evaluation of work tied to releases</w:t>
      </w:r>
      <w:r>
        <w:rPr>
          <w:bCs/>
          <w:sz w:val="20"/>
          <w:szCs w:val="20"/>
        </w:rPr>
        <w:t>/</w:t>
      </w:r>
      <w:r w:rsidRPr="00550D24">
        <w:rPr>
          <w:bCs/>
          <w:sz w:val="20"/>
          <w:szCs w:val="20"/>
        </w:rPr>
        <w:t xml:space="preserve">buyouts should be done by the supervisor </w:t>
      </w:r>
      <w:r>
        <w:rPr>
          <w:bCs/>
          <w:sz w:val="20"/>
          <w:szCs w:val="20"/>
        </w:rPr>
        <w:t>overseeing</w:t>
      </w:r>
      <w:r w:rsidRPr="00550D24">
        <w:rPr>
          <w:bCs/>
          <w:sz w:val="20"/>
          <w:szCs w:val="20"/>
        </w:rPr>
        <w:t xml:space="preserve"> the </w:t>
      </w:r>
      <w:r>
        <w:rPr>
          <w:bCs/>
          <w:sz w:val="20"/>
          <w:szCs w:val="20"/>
        </w:rPr>
        <w:t>appointment</w:t>
      </w:r>
      <w:r w:rsidRPr="00550D24">
        <w:rPr>
          <w:bCs/>
          <w:sz w:val="20"/>
          <w:szCs w:val="20"/>
        </w:rPr>
        <w:t>.  (For example</w:t>
      </w:r>
      <w:r w:rsidR="00311E10">
        <w:rPr>
          <w:bCs/>
          <w:sz w:val="20"/>
          <w:szCs w:val="20"/>
        </w:rPr>
        <w:t>,</w:t>
      </w:r>
      <w:r w:rsidRPr="00550D24">
        <w:rPr>
          <w:bCs/>
          <w:sz w:val="20"/>
          <w:szCs w:val="20"/>
        </w:rPr>
        <w:t xml:space="preserve"> </w:t>
      </w:r>
      <w:r w:rsidR="00311E10">
        <w:rPr>
          <w:bCs/>
          <w:sz w:val="20"/>
          <w:szCs w:val="20"/>
        </w:rPr>
        <w:t>f</w:t>
      </w:r>
      <w:r w:rsidRPr="00550D24">
        <w:rPr>
          <w:bCs/>
          <w:sz w:val="20"/>
          <w:szCs w:val="20"/>
        </w:rPr>
        <w:t>aculty fellows are evaluated by unit buying out time for the work assigned.)</w:t>
      </w:r>
    </w:p>
    <w:p w14:paraId="32290E2C" w14:textId="77777777" w:rsidR="0085743F" w:rsidRPr="00550D24" w:rsidRDefault="0085743F" w:rsidP="0085743F">
      <w:pPr>
        <w:pStyle w:val="ListParagraph"/>
        <w:numPr>
          <w:ilvl w:val="1"/>
          <w:numId w:val="11"/>
        </w:numPr>
        <w:rPr>
          <w:color w:val="0A0A0A"/>
          <w:sz w:val="20"/>
          <w:szCs w:val="20"/>
        </w:rPr>
      </w:pPr>
      <w:r>
        <w:rPr>
          <w:color w:val="0A0A0A"/>
          <w:sz w:val="20"/>
          <w:szCs w:val="20"/>
        </w:rPr>
        <w:lastRenderedPageBreak/>
        <w:t>The</w:t>
      </w:r>
      <w:r w:rsidRPr="00550D24">
        <w:rPr>
          <w:color w:val="0A0A0A"/>
          <w:sz w:val="20"/>
          <w:szCs w:val="20"/>
        </w:rPr>
        <w:t xml:space="preserve"> person supervising the </w:t>
      </w:r>
      <w:r>
        <w:rPr>
          <w:color w:val="0A0A0A"/>
          <w:sz w:val="20"/>
          <w:szCs w:val="20"/>
        </w:rPr>
        <w:t>compensated work</w:t>
      </w:r>
      <w:r w:rsidRPr="00550D24">
        <w:rPr>
          <w:color w:val="0A0A0A"/>
          <w:sz w:val="20"/>
          <w:szCs w:val="20"/>
        </w:rPr>
        <w:t xml:space="preserve"> should </w:t>
      </w:r>
      <w:r>
        <w:rPr>
          <w:color w:val="0A0A0A"/>
          <w:sz w:val="20"/>
          <w:szCs w:val="20"/>
        </w:rPr>
        <w:t>provide the chair with an evaluation of the work done</w:t>
      </w:r>
      <w:r w:rsidRPr="00550D24">
        <w:rPr>
          <w:color w:val="0A0A0A"/>
          <w:sz w:val="20"/>
          <w:szCs w:val="20"/>
        </w:rPr>
        <w:t xml:space="preserve"> for the release/buyout</w:t>
      </w:r>
      <w:r>
        <w:rPr>
          <w:color w:val="0A0A0A"/>
          <w:sz w:val="20"/>
          <w:szCs w:val="20"/>
        </w:rPr>
        <w:t xml:space="preserve"> to be included with the annual review.</w:t>
      </w:r>
    </w:p>
    <w:p w14:paraId="6C117670" w14:textId="77777777" w:rsidR="0085743F" w:rsidRPr="00550D24" w:rsidRDefault="0085743F" w:rsidP="0085743F">
      <w:pPr>
        <w:pStyle w:val="ListParagraph"/>
        <w:numPr>
          <w:ilvl w:val="0"/>
          <w:numId w:val="11"/>
        </w:numPr>
        <w:rPr>
          <w:color w:val="0A0A0A"/>
          <w:sz w:val="20"/>
          <w:szCs w:val="20"/>
        </w:rPr>
      </w:pPr>
      <w:r w:rsidRPr="00550D24">
        <w:rPr>
          <w:color w:val="0A0A0A"/>
          <w:sz w:val="20"/>
          <w:szCs w:val="20"/>
        </w:rPr>
        <w:t xml:space="preserve">Workload expectations should be adjusted </w:t>
      </w:r>
      <w:r>
        <w:rPr>
          <w:color w:val="0A0A0A"/>
          <w:sz w:val="20"/>
          <w:szCs w:val="20"/>
        </w:rPr>
        <w:t xml:space="preserve">as appropriate </w:t>
      </w:r>
      <w:r w:rsidRPr="00550D24">
        <w:rPr>
          <w:color w:val="0A0A0A"/>
          <w:sz w:val="20"/>
          <w:szCs w:val="20"/>
        </w:rPr>
        <w:t>to account for buyouts of time for service.</w:t>
      </w:r>
    </w:p>
    <w:p w14:paraId="74F99953" w14:textId="77777777" w:rsidR="0085743F" w:rsidRPr="00550D24" w:rsidRDefault="0085743F" w:rsidP="0085743F">
      <w:pPr>
        <w:pStyle w:val="ListParagraph"/>
        <w:numPr>
          <w:ilvl w:val="0"/>
          <w:numId w:val="11"/>
        </w:numPr>
        <w:autoSpaceDE w:val="0"/>
        <w:autoSpaceDN w:val="0"/>
        <w:adjustRightInd w:val="0"/>
        <w:rPr>
          <w:sz w:val="20"/>
          <w:szCs w:val="20"/>
        </w:rPr>
      </w:pPr>
      <w:r w:rsidRPr="00550D24">
        <w:rPr>
          <w:bCs/>
          <w:sz w:val="20"/>
          <w:szCs w:val="20"/>
        </w:rPr>
        <w:t xml:space="preserve">Faculty with course releases or buyouts for service or administration should not be evaluated as exceeds expectations for simply doing the work associated with the additional time given for the service, as reflected in the position description.  </w:t>
      </w:r>
      <w:r>
        <w:rPr>
          <w:bCs/>
          <w:sz w:val="20"/>
          <w:szCs w:val="20"/>
        </w:rPr>
        <w:t>The quality or quantity of effort beyond the position description can be evaluated as more than meeting expectations.</w:t>
      </w:r>
    </w:p>
    <w:p w14:paraId="267C01E9" w14:textId="77777777" w:rsidR="0085743F" w:rsidRPr="00550D24" w:rsidRDefault="0085743F" w:rsidP="0085743F">
      <w:pPr>
        <w:pStyle w:val="ListParagraph"/>
        <w:numPr>
          <w:ilvl w:val="0"/>
          <w:numId w:val="11"/>
        </w:numPr>
        <w:autoSpaceDE w:val="0"/>
        <w:autoSpaceDN w:val="0"/>
        <w:adjustRightInd w:val="0"/>
        <w:rPr>
          <w:sz w:val="20"/>
          <w:szCs w:val="20"/>
        </w:rPr>
      </w:pPr>
      <w:r w:rsidRPr="00550D24">
        <w:rPr>
          <w:sz w:val="20"/>
          <w:szCs w:val="20"/>
        </w:rPr>
        <w:t xml:space="preserve">Service contributions for someone with </w:t>
      </w:r>
      <w:r w:rsidRPr="00550D24">
        <w:rPr>
          <w:bCs/>
          <w:sz w:val="20"/>
          <w:szCs w:val="20"/>
        </w:rPr>
        <w:t>basic service expectations</w:t>
      </w:r>
      <w:r w:rsidRPr="00550D24">
        <w:rPr>
          <w:sz w:val="20"/>
          <w:szCs w:val="20"/>
        </w:rPr>
        <w:t xml:space="preserve"> vs. someone with </w:t>
      </w:r>
      <w:r w:rsidRPr="00550D24">
        <w:rPr>
          <w:bCs/>
          <w:sz w:val="20"/>
          <w:szCs w:val="20"/>
        </w:rPr>
        <w:t>higher</w:t>
      </w:r>
      <w:r w:rsidRPr="00550D24">
        <w:rPr>
          <w:sz w:val="20"/>
          <w:szCs w:val="20"/>
        </w:rPr>
        <w:t xml:space="preserve"> service expectations must be taken into consideration when evaluating effort</w:t>
      </w:r>
      <w:r w:rsidRPr="00550D24">
        <w:rPr>
          <w:bCs/>
          <w:sz w:val="20"/>
          <w:szCs w:val="20"/>
        </w:rPr>
        <w:t>. For example, the same productivity may “exceed” expectations for a faculty with a 20% service workload but may “meet” expectations for a faculty who had a course buyout with a 30% service workload.</w:t>
      </w:r>
    </w:p>
    <w:p w14:paraId="7E620BC0" w14:textId="77777777" w:rsidR="0085743F" w:rsidRDefault="0085743F" w:rsidP="0085743F">
      <w:pPr>
        <w:pStyle w:val="ListParagraph"/>
        <w:numPr>
          <w:ilvl w:val="0"/>
          <w:numId w:val="11"/>
        </w:numPr>
        <w:rPr>
          <w:sz w:val="20"/>
          <w:szCs w:val="20"/>
        </w:rPr>
      </w:pPr>
      <w:r w:rsidRPr="00550D24">
        <w:rPr>
          <w:sz w:val="20"/>
          <w:szCs w:val="20"/>
        </w:rPr>
        <w:t>If faculty receive additional (“supplemental”) pay during the academic year for service done for another unit or external entity, that is viewed as overload pay, and that compensated effort is not typically considered as work that “exceeds” expectations.</w:t>
      </w:r>
    </w:p>
    <w:p w14:paraId="2E4CEA70" w14:textId="77777777" w:rsidR="00C4235A" w:rsidRPr="00FF4EF0" w:rsidRDefault="00C4235A" w:rsidP="00C4235A">
      <w:pPr>
        <w:rPr>
          <w:color w:val="0A0A0A"/>
          <w:sz w:val="22"/>
          <w:szCs w:val="22"/>
        </w:rPr>
      </w:pPr>
    </w:p>
    <w:p w14:paraId="53905837" w14:textId="77777777" w:rsidR="00127E60" w:rsidRDefault="00127E60" w:rsidP="00127E60">
      <w:pPr>
        <w:autoSpaceDE w:val="0"/>
        <w:autoSpaceDN w:val="0"/>
        <w:adjustRightInd w:val="0"/>
        <w:rPr>
          <w:b/>
          <w:bCs/>
          <w:color w:val="0A0A0A"/>
          <w:sz w:val="22"/>
          <w:szCs w:val="22"/>
        </w:rPr>
      </w:pPr>
      <w:r>
        <w:rPr>
          <w:b/>
          <w:bCs/>
          <w:color w:val="0A0A0A"/>
          <w:sz w:val="22"/>
          <w:szCs w:val="22"/>
        </w:rPr>
        <w:t>OVERALL PERFORMANCE RATING</w:t>
      </w:r>
    </w:p>
    <w:p w14:paraId="639524B9" w14:textId="77777777" w:rsidR="00127E60" w:rsidRDefault="00127E60" w:rsidP="00127E60">
      <w:pPr>
        <w:autoSpaceDE w:val="0"/>
        <w:autoSpaceDN w:val="0"/>
        <w:adjustRightInd w:val="0"/>
        <w:rPr>
          <w:color w:val="0A0A0A"/>
          <w:sz w:val="22"/>
          <w:szCs w:val="22"/>
        </w:rPr>
      </w:pPr>
      <w:r>
        <w:rPr>
          <w:b/>
          <w:bCs/>
          <w:color w:val="0A0A0A"/>
          <w:sz w:val="22"/>
          <w:szCs w:val="22"/>
        </w:rPr>
        <w:t>Meets/Exceeds Productivity Expectations</w:t>
      </w:r>
    </w:p>
    <w:p w14:paraId="6BAEB8E0" w14:textId="77777777" w:rsidR="00127E60" w:rsidRDefault="00127E60" w:rsidP="00127E60">
      <w:pPr>
        <w:autoSpaceDE w:val="0"/>
        <w:autoSpaceDN w:val="0"/>
        <w:adjustRightInd w:val="0"/>
        <w:rPr>
          <w:color w:val="0A0A0A"/>
          <w:sz w:val="22"/>
          <w:szCs w:val="22"/>
        </w:rPr>
      </w:pPr>
      <w:r>
        <w:rPr>
          <w:color w:val="0A0A0A"/>
          <w:sz w:val="22"/>
          <w:szCs w:val="22"/>
        </w:rPr>
        <w:t>To be evaluated as “meets” productivity expectations or higher, faculty must maintain an up-to-date CV and upload it into the Faculty Annual Review platform (Elements) at the time of the annual report.</w:t>
      </w:r>
    </w:p>
    <w:p w14:paraId="28F76A41" w14:textId="77777777" w:rsidR="00127E60" w:rsidRDefault="00127E60" w:rsidP="00127E60">
      <w:pPr>
        <w:autoSpaceDE w:val="0"/>
        <w:autoSpaceDN w:val="0"/>
        <w:adjustRightInd w:val="0"/>
        <w:rPr>
          <w:color w:val="0A0A0A"/>
          <w:sz w:val="22"/>
          <w:szCs w:val="22"/>
        </w:rPr>
      </w:pPr>
    </w:p>
    <w:p w14:paraId="36B40346" w14:textId="74581460" w:rsidR="00127E60" w:rsidRDefault="00127E60" w:rsidP="00127E60">
      <w:pPr>
        <w:autoSpaceDE w:val="0"/>
        <w:autoSpaceDN w:val="0"/>
        <w:adjustRightInd w:val="0"/>
        <w:rPr>
          <w:color w:val="0A0A0A"/>
          <w:sz w:val="22"/>
          <w:szCs w:val="22"/>
        </w:rPr>
      </w:pPr>
      <w:r>
        <w:rPr>
          <w:color w:val="0A0A0A"/>
          <w:sz w:val="22"/>
          <w:szCs w:val="22"/>
        </w:rPr>
        <w:t xml:space="preserve">Faculty who </w:t>
      </w:r>
      <w:proofErr w:type="gramStart"/>
      <w:r>
        <w:rPr>
          <w:color w:val="0A0A0A"/>
          <w:sz w:val="22"/>
          <w:szCs w:val="22"/>
        </w:rPr>
        <w:t>meet</w:t>
      </w:r>
      <w:proofErr w:type="gramEnd"/>
      <w:r>
        <w:rPr>
          <w:color w:val="0A0A0A"/>
          <w:sz w:val="22"/>
          <w:szCs w:val="22"/>
        </w:rPr>
        <w:t xml:space="preserve"> productivity expectations for 100% of their workload distribution (teaching, service, and administration, if relevant) should receive an overall performance rating of at least “meets productivity expectations.”  Faculty who also exceed productivity expectations for 80% or more of their workload should receive an overall performance rating of “exceeds productivity expectations.”  </w:t>
      </w:r>
    </w:p>
    <w:p w14:paraId="32EE6F18" w14:textId="77777777" w:rsidR="00127E60" w:rsidRDefault="00127E60" w:rsidP="00127E60">
      <w:pPr>
        <w:autoSpaceDE w:val="0"/>
        <w:autoSpaceDN w:val="0"/>
        <w:adjustRightInd w:val="0"/>
        <w:rPr>
          <w:color w:val="0A0A0A"/>
          <w:sz w:val="22"/>
          <w:szCs w:val="22"/>
        </w:rPr>
      </w:pPr>
    </w:p>
    <w:p w14:paraId="6A77DAB8" w14:textId="77777777" w:rsidR="00DC3217" w:rsidRDefault="00DC3217" w:rsidP="00DC3217">
      <w:pPr>
        <w:autoSpaceDE w:val="0"/>
        <w:autoSpaceDN w:val="0"/>
        <w:adjustRightInd w:val="0"/>
        <w:rPr>
          <w:b/>
          <w:bCs/>
          <w:color w:val="0A0A0A"/>
          <w:sz w:val="22"/>
          <w:szCs w:val="22"/>
        </w:rPr>
      </w:pPr>
      <w:r>
        <w:rPr>
          <w:b/>
          <w:bCs/>
          <w:color w:val="0A0A0A"/>
          <w:sz w:val="22"/>
          <w:szCs w:val="22"/>
        </w:rPr>
        <w:t xml:space="preserve">Does Not Meet Productivity Expectations </w:t>
      </w:r>
      <w:r w:rsidRPr="00AA4F79">
        <w:rPr>
          <w:color w:val="0A0A0A"/>
          <w:sz w:val="22"/>
          <w:szCs w:val="22"/>
        </w:rPr>
        <w:t>and</w:t>
      </w:r>
      <w:r>
        <w:rPr>
          <w:b/>
          <w:bCs/>
          <w:color w:val="0A0A0A"/>
          <w:sz w:val="22"/>
          <w:szCs w:val="22"/>
        </w:rPr>
        <w:t xml:space="preserve"> </w:t>
      </w:r>
      <w:r w:rsidRPr="00CE7A22">
        <w:rPr>
          <w:b/>
          <w:bCs/>
          <w:color w:val="0A0A0A"/>
          <w:sz w:val="22"/>
          <w:szCs w:val="22"/>
        </w:rPr>
        <w:t>Unsatisfactory Productivity</w:t>
      </w:r>
    </w:p>
    <w:p w14:paraId="130EB550" w14:textId="5DCB2C9A" w:rsidR="00DC3217" w:rsidRPr="006157C7" w:rsidRDefault="00DC3217" w:rsidP="00DC3217">
      <w:pPr>
        <w:rPr>
          <w:sz w:val="22"/>
          <w:szCs w:val="22"/>
        </w:rPr>
      </w:pPr>
      <w:r w:rsidRPr="006157C7">
        <w:rPr>
          <w:rFonts w:eastAsiaTheme="majorEastAsia"/>
          <w:sz w:val="22"/>
          <w:szCs w:val="22"/>
        </w:rPr>
        <w:t>In the absence of mitigating circumstances documented by the chair, performance that does not meet productivity expectations in one or more areas of work (teaching</w:t>
      </w:r>
      <w:r>
        <w:rPr>
          <w:rFonts w:eastAsiaTheme="majorEastAsia"/>
          <w:sz w:val="22"/>
          <w:szCs w:val="22"/>
        </w:rPr>
        <w:t>,</w:t>
      </w:r>
      <w:r w:rsidRPr="006157C7">
        <w:rPr>
          <w:rFonts w:eastAsiaTheme="majorEastAsia"/>
          <w:sz w:val="22"/>
          <w:szCs w:val="22"/>
        </w:rPr>
        <w:t xml:space="preserve"> service</w:t>
      </w:r>
      <w:r>
        <w:rPr>
          <w:rFonts w:eastAsiaTheme="majorEastAsia"/>
          <w:sz w:val="22"/>
          <w:szCs w:val="22"/>
        </w:rPr>
        <w:t>, or</w:t>
      </w:r>
      <w:r w:rsidRPr="00B00D25">
        <w:rPr>
          <w:color w:val="0A0A0A"/>
          <w:sz w:val="22"/>
          <w:szCs w:val="22"/>
        </w:rPr>
        <w:t xml:space="preserve"> </w:t>
      </w:r>
      <w:r>
        <w:rPr>
          <w:color w:val="0A0A0A"/>
          <w:sz w:val="22"/>
          <w:szCs w:val="22"/>
        </w:rPr>
        <w:t>administration, if relevant</w:t>
      </w:r>
      <w:r w:rsidRPr="006157C7">
        <w:rPr>
          <w:rFonts w:eastAsiaTheme="majorEastAsia"/>
          <w:sz w:val="22"/>
          <w:szCs w:val="22"/>
        </w:rPr>
        <w:t xml:space="preserve">) in any given year </w:t>
      </w:r>
      <w:r w:rsidRPr="006157C7">
        <w:rPr>
          <w:i/>
          <w:iCs/>
          <w:color w:val="0A0A0A"/>
          <w:sz w:val="22"/>
          <w:szCs w:val="22"/>
        </w:rPr>
        <w:t xml:space="preserve">does not meet overall productivity expectations </w:t>
      </w:r>
      <w:r w:rsidRPr="006157C7">
        <w:rPr>
          <w:rFonts w:eastAsiaTheme="majorEastAsia"/>
          <w:sz w:val="22"/>
          <w:szCs w:val="22"/>
          <w:u w:val="single"/>
        </w:rPr>
        <w:t>for the year</w:t>
      </w:r>
      <w:r w:rsidRPr="006157C7">
        <w:rPr>
          <w:rFonts w:eastAsiaTheme="majorEastAsia"/>
          <w:sz w:val="22"/>
          <w:szCs w:val="22"/>
        </w:rPr>
        <w:t xml:space="preserve">.  Faculty evaluated as not meeting overall productivity expectations for the year twice in a </w:t>
      </w:r>
      <w:r>
        <w:rPr>
          <w:rFonts w:eastAsiaTheme="majorEastAsia"/>
          <w:sz w:val="22"/>
          <w:szCs w:val="22"/>
        </w:rPr>
        <w:t xml:space="preserve">rolling </w:t>
      </w:r>
      <w:r w:rsidRPr="006157C7">
        <w:rPr>
          <w:rFonts w:eastAsiaTheme="majorEastAsia"/>
          <w:sz w:val="22"/>
          <w:szCs w:val="22"/>
        </w:rPr>
        <w:t>three-year period receive an evaluation of “unsatisfactory</w:t>
      </w:r>
      <w:r>
        <w:rPr>
          <w:rFonts w:eastAsiaTheme="majorEastAsia"/>
          <w:sz w:val="22"/>
          <w:szCs w:val="22"/>
        </w:rPr>
        <w:t xml:space="preserve"> productivity</w:t>
      </w:r>
      <w:r w:rsidRPr="006157C7">
        <w:rPr>
          <w:rFonts w:eastAsiaTheme="majorEastAsia"/>
          <w:sz w:val="22"/>
          <w:szCs w:val="22"/>
        </w:rPr>
        <w:t>” and are required to have an enhancement review conducted by the Professional Development Committee, per the bylaws of the School Faculty Assembly.</w:t>
      </w:r>
    </w:p>
    <w:p w14:paraId="0D5E2DA0" w14:textId="77777777" w:rsidR="00DC3217" w:rsidRDefault="00DC3217" w:rsidP="00C4235A">
      <w:pPr>
        <w:pStyle w:val="BodyText"/>
        <w:kinsoku w:val="0"/>
        <w:overflowPunct w:val="0"/>
        <w:ind w:left="0"/>
        <w:rPr>
          <w:rFonts w:ascii="Times New Roman" w:hAnsi="Times New Roman" w:cs="Times New Roman"/>
          <w:b/>
          <w:bCs/>
          <w:sz w:val="22"/>
          <w:szCs w:val="22"/>
        </w:rPr>
      </w:pPr>
    </w:p>
    <w:p w14:paraId="1E393F6F" w14:textId="77777777" w:rsidR="003C294D" w:rsidRDefault="003C294D" w:rsidP="003C294D">
      <w:pPr>
        <w:rPr>
          <w:rFonts w:eastAsia="Geneva"/>
          <w:b/>
          <w:bCs/>
          <w:sz w:val="22"/>
          <w:szCs w:val="22"/>
        </w:rPr>
      </w:pPr>
      <w:r>
        <w:rPr>
          <w:b/>
          <w:bCs/>
          <w:sz w:val="22"/>
          <w:szCs w:val="22"/>
        </w:rPr>
        <w:br w:type="page"/>
      </w:r>
    </w:p>
    <w:p w14:paraId="15435A72" w14:textId="77777777" w:rsidR="003C294D" w:rsidRDefault="003C294D" w:rsidP="003C294D">
      <w:pPr>
        <w:pStyle w:val="BodyText"/>
        <w:kinsoku w:val="0"/>
        <w:overflowPunct w:val="0"/>
        <w:ind w:left="0"/>
        <w:jc w:val="center"/>
        <w:rPr>
          <w:rFonts w:ascii="Times New Roman" w:hAnsi="Times New Roman" w:cs="Times New Roman"/>
          <w:b/>
          <w:bCs/>
          <w:sz w:val="22"/>
          <w:szCs w:val="22"/>
        </w:rPr>
      </w:pPr>
      <w:r>
        <w:rPr>
          <w:rFonts w:ascii="Times New Roman" w:hAnsi="Times New Roman" w:cs="Times New Roman"/>
          <w:b/>
          <w:bCs/>
          <w:sz w:val="22"/>
          <w:szCs w:val="22"/>
        </w:rPr>
        <w:lastRenderedPageBreak/>
        <w:t>APPENDIX</w:t>
      </w:r>
    </w:p>
    <w:p w14:paraId="53F18814" w14:textId="77777777" w:rsidR="003C294D" w:rsidRDefault="003C294D" w:rsidP="003C294D">
      <w:pPr>
        <w:pStyle w:val="BodyText"/>
        <w:kinsoku w:val="0"/>
        <w:overflowPunct w:val="0"/>
        <w:ind w:left="0"/>
        <w:jc w:val="center"/>
        <w:rPr>
          <w:rFonts w:ascii="Times New Roman" w:hAnsi="Times New Roman" w:cs="Times New Roman"/>
          <w:b/>
          <w:bCs/>
          <w:sz w:val="22"/>
          <w:szCs w:val="22"/>
        </w:rPr>
      </w:pPr>
      <w:r>
        <w:rPr>
          <w:rFonts w:ascii="Times New Roman" w:hAnsi="Times New Roman" w:cs="Times New Roman"/>
          <w:b/>
          <w:bCs/>
          <w:sz w:val="22"/>
          <w:szCs w:val="22"/>
        </w:rPr>
        <w:t>Comments on Teaching Responsibilities</w:t>
      </w:r>
    </w:p>
    <w:p w14:paraId="73FE37BC" w14:textId="77777777" w:rsidR="003C294D" w:rsidRPr="00FF4EF0" w:rsidRDefault="003C294D" w:rsidP="003C294D">
      <w:pPr>
        <w:pStyle w:val="BodyText"/>
        <w:kinsoku w:val="0"/>
        <w:overflowPunct w:val="0"/>
        <w:ind w:left="0"/>
        <w:rPr>
          <w:rFonts w:ascii="Times New Roman" w:hAnsi="Times New Roman" w:cs="Times New Roman"/>
          <w:b/>
          <w:bCs/>
          <w:sz w:val="22"/>
          <w:szCs w:val="22"/>
        </w:rPr>
      </w:pPr>
    </w:p>
    <w:p w14:paraId="7AAD2AA5" w14:textId="77777777" w:rsidR="003C294D" w:rsidRPr="00FF4EF0" w:rsidRDefault="003C294D" w:rsidP="003C294D">
      <w:pPr>
        <w:pStyle w:val="BodyText"/>
        <w:kinsoku w:val="0"/>
        <w:overflowPunct w:val="0"/>
        <w:ind w:left="0"/>
        <w:rPr>
          <w:rFonts w:ascii="Times New Roman" w:hAnsi="Times New Roman" w:cs="Times New Roman"/>
          <w:sz w:val="22"/>
          <w:szCs w:val="22"/>
        </w:rPr>
      </w:pPr>
      <w:r w:rsidRPr="00FF4EF0">
        <w:rPr>
          <w:rFonts w:ascii="Times New Roman" w:hAnsi="Times New Roman" w:cs="Times New Roman"/>
          <w:sz w:val="22"/>
          <w:szCs w:val="22"/>
        </w:rPr>
        <w:t>Each three-credit course taught is considered 10% of one’s workload for the academic year. For all faculty members, teaching assignments must balance the school’s need for undergraduate as well as graduate teaching and give preference to coverage of courses required for majors as well as courses that meet campus general education core and school competency requirements</w:t>
      </w:r>
      <w:r w:rsidRPr="6F7BD293">
        <w:rPr>
          <w:rFonts w:ascii="Times New Roman" w:hAnsi="Times New Roman" w:cs="Times New Roman"/>
          <w:sz w:val="22"/>
          <w:szCs w:val="22"/>
        </w:rPr>
        <w:t>, as well as those which generate higher student enrollments.</w:t>
      </w:r>
      <w:r w:rsidRPr="00FF4EF0">
        <w:rPr>
          <w:rFonts w:ascii="Times New Roman" w:hAnsi="Times New Roman" w:cs="Times New Roman"/>
          <w:sz w:val="22"/>
          <w:szCs w:val="22"/>
        </w:rPr>
        <w:t xml:space="preserve"> At times during a faculty member’s career, these needs may require adjustments in the combination of courses they teach (e.g., with respect to topic, level, frequency of </w:t>
      </w:r>
      <w:proofErr w:type="gramStart"/>
      <w:r w:rsidRPr="00FF4EF0">
        <w:rPr>
          <w:rFonts w:ascii="Times New Roman" w:hAnsi="Times New Roman" w:cs="Times New Roman"/>
          <w:sz w:val="22"/>
          <w:szCs w:val="22"/>
        </w:rPr>
        <w:t>particular oﬀerings</w:t>
      </w:r>
      <w:proofErr w:type="gramEnd"/>
      <w:r w:rsidRPr="00FF4EF0">
        <w:rPr>
          <w:rFonts w:ascii="Times New Roman" w:hAnsi="Times New Roman" w:cs="Times New Roman"/>
          <w:sz w:val="22"/>
          <w:szCs w:val="22"/>
        </w:rPr>
        <w:t>, etc.)</w:t>
      </w:r>
    </w:p>
    <w:p w14:paraId="6049E5D0" w14:textId="77777777" w:rsidR="003C294D" w:rsidRPr="00FF4EF0" w:rsidRDefault="003C294D" w:rsidP="003C294D">
      <w:pPr>
        <w:pStyle w:val="BodyText"/>
        <w:kinsoku w:val="0"/>
        <w:overflowPunct w:val="0"/>
        <w:ind w:left="0" w:right="167"/>
        <w:rPr>
          <w:rFonts w:ascii="Times New Roman" w:hAnsi="Times New Roman" w:cs="Times New Roman"/>
          <w:sz w:val="22"/>
          <w:szCs w:val="22"/>
        </w:rPr>
      </w:pPr>
    </w:p>
    <w:p w14:paraId="0E024FBB" w14:textId="77777777" w:rsidR="003C294D" w:rsidRPr="00FF4EF0" w:rsidRDefault="003C294D" w:rsidP="003C294D">
      <w:pPr>
        <w:pStyle w:val="BodyText"/>
        <w:kinsoku w:val="0"/>
        <w:overflowPunct w:val="0"/>
        <w:ind w:left="0" w:right="108"/>
        <w:rPr>
          <w:rFonts w:ascii="Times New Roman" w:hAnsi="Times New Roman" w:cs="Times New Roman"/>
          <w:sz w:val="22"/>
          <w:szCs w:val="22"/>
        </w:rPr>
      </w:pPr>
      <w:r w:rsidRPr="00FF4EF0">
        <w:rPr>
          <w:rFonts w:ascii="Times New Roman" w:hAnsi="Times New Roman" w:cs="Times New Roman"/>
          <w:sz w:val="22"/>
          <w:szCs w:val="22"/>
        </w:rPr>
        <w:t xml:space="preserve">Assigning faculty to speciﬁc courses is complex and faculty have “a right to fair and equitable treatment that withstands review among peers and is within program expectations.”  Chairs and program directors are expected to consult with faculty </w:t>
      </w:r>
      <w:proofErr w:type="gramStart"/>
      <w:r w:rsidRPr="00FF4EF0">
        <w:rPr>
          <w:rFonts w:ascii="Times New Roman" w:hAnsi="Times New Roman" w:cs="Times New Roman"/>
          <w:sz w:val="22"/>
          <w:szCs w:val="22"/>
        </w:rPr>
        <w:t>with regard to</w:t>
      </w:r>
      <w:proofErr w:type="gramEnd"/>
      <w:r w:rsidRPr="00FF4EF0">
        <w:rPr>
          <w:rFonts w:ascii="Times New Roman" w:hAnsi="Times New Roman" w:cs="Times New Roman"/>
          <w:sz w:val="22"/>
          <w:szCs w:val="22"/>
        </w:rPr>
        <w:t xml:space="preserve"> their teaching preferences, but “no absolute right exists with regard to assignment or eﬀort distribution” (IU Indianapolis Faculty Guide). Chairs and directors, in consultation with the Associate Dean for Academic Programs and subject to the approval of the Dean, have the responsibility for creating course schedules, based on curricular requirements and student needs, as well as the authority to assign faculty to teach them, including when (terms, days, times) as well as mode (face- to-face, online, etc.).</w:t>
      </w:r>
    </w:p>
    <w:p w14:paraId="09B97362" w14:textId="77777777" w:rsidR="003C294D" w:rsidRPr="00FF4EF0" w:rsidRDefault="003C294D" w:rsidP="003C294D">
      <w:pPr>
        <w:pStyle w:val="BodyText"/>
        <w:kinsoku w:val="0"/>
        <w:overflowPunct w:val="0"/>
        <w:ind w:left="0" w:right="108"/>
        <w:rPr>
          <w:rFonts w:ascii="Times New Roman" w:hAnsi="Times New Roman" w:cs="Times New Roman"/>
          <w:sz w:val="22"/>
          <w:szCs w:val="22"/>
        </w:rPr>
      </w:pPr>
    </w:p>
    <w:p w14:paraId="2A8C1DCA" w14:textId="77777777" w:rsidR="003C294D" w:rsidRPr="00B46789" w:rsidRDefault="003C294D" w:rsidP="003C294D">
      <w:pPr>
        <w:pStyle w:val="BodyText"/>
        <w:kinsoku w:val="0"/>
        <w:overflowPunct w:val="0"/>
        <w:ind w:left="0"/>
        <w:rPr>
          <w:rFonts w:ascii="Times New Roman" w:hAnsi="Times New Roman" w:cs="Times New Roman"/>
          <w:sz w:val="22"/>
          <w:szCs w:val="22"/>
        </w:rPr>
      </w:pPr>
      <w:r w:rsidRPr="00FF4EF0">
        <w:rPr>
          <w:rFonts w:ascii="Times New Roman" w:hAnsi="Times New Roman" w:cs="Times New Roman"/>
          <w:sz w:val="22"/>
          <w:szCs w:val="22"/>
        </w:rPr>
        <w:t xml:space="preserve">Quality teaching is an expectation and must be a goal of every faculty member in the </w:t>
      </w:r>
      <w:proofErr w:type="gramStart"/>
      <w:r w:rsidRPr="00FF4EF0">
        <w:rPr>
          <w:rFonts w:ascii="Times New Roman" w:hAnsi="Times New Roman" w:cs="Times New Roman"/>
          <w:sz w:val="22"/>
          <w:szCs w:val="22"/>
        </w:rPr>
        <w:t>School</w:t>
      </w:r>
      <w:proofErr w:type="gramEnd"/>
      <w:r w:rsidRPr="00FF4EF0">
        <w:rPr>
          <w:rFonts w:ascii="Times New Roman" w:hAnsi="Times New Roman" w:cs="Times New Roman"/>
          <w:sz w:val="22"/>
          <w:szCs w:val="22"/>
        </w:rPr>
        <w:t xml:space="preserve">; thoughtful, principled and caring teaching and mentoring are primary activities for </w:t>
      </w:r>
      <w:r w:rsidRPr="00B46789">
        <w:rPr>
          <w:rFonts w:ascii="Times New Roman" w:hAnsi="Times New Roman" w:cs="Times New Roman"/>
          <w:sz w:val="22"/>
          <w:szCs w:val="22"/>
        </w:rPr>
        <w:t>faculty.  Eﬀectiveness is an essential criterion for evaluation and advancement. Faculty must demonstrate command of their subject matter, continuous growth in the subject ﬁeld, and an ability to create and maintain instructional environments to promote student learning.</w:t>
      </w:r>
    </w:p>
    <w:p w14:paraId="5C5FA825" w14:textId="77777777" w:rsidR="003C294D" w:rsidRPr="00FF4EF0" w:rsidRDefault="003C294D" w:rsidP="003C294D">
      <w:pPr>
        <w:pStyle w:val="Default"/>
        <w:rPr>
          <w:sz w:val="22"/>
          <w:szCs w:val="22"/>
        </w:rPr>
      </w:pPr>
    </w:p>
    <w:p w14:paraId="5CC28482" w14:textId="77777777" w:rsidR="003C294D" w:rsidRPr="00FF4EF0" w:rsidRDefault="003C294D" w:rsidP="003C294D">
      <w:pPr>
        <w:pStyle w:val="Default"/>
        <w:rPr>
          <w:color w:val="323232"/>
          <w:sz w:val="22"/>
          <w:szCs w:val="22"/>
        </w:rPr>
      </w:pPr>
      <w:r w:rsidRPr="00FF4EF0">
        <w:rPr>
          <w:color w:val="auto"/>
          <w:sz w:val="22"/>
          <w:szCs w:val="22"/>
        </w:rPr>
        <w:t>Classroom instruction is but one element of teaching and engagement with students. Teaching expectations include not only the teaching of graduate</w:t>
      </w:r>
      <w:r w:rsidRPr="00FF4EF0">
        <w:rPr>
          <w:sz w:val="22"/>
          <w:szCs w:val="22"/>
        </w:rPr>
        <w:t>/undergraduate courses but also include student mentoring/advising, and other academic activities necessary for students to complete their degree and program requirements as established by the department/program.</w:t>
      </w:r>
    </w:p>
    <w:p w14:paraId="2D624CBD" w14:textId="77777777" w:rsidR="003C294D" w:rsidRPr="00FF4EF0" w:rsidRDefault="003C294D" w:rsidP="003C294D">
      <w:pPr>
        <w:autoSpaceDE w:val="0"/>
        <w:autoSpaceDN w:val="0"/>
        <w:adjustRightInd w:val="0"/>
        <w:rPr>
          <w:sz w:val="22"/>
          <w:szCs w:val="22"/>
        </w:rPr>
      </w:pPr>
    </w:p>
    <w:p w14:paraId="2F26BC83" w14:textId="77777777" w:rsidR="003C294D" w:rsidRPr="00FF4EF0" w:rsidRDefault="003C294D" w:rsidP="003C294D">
      <w:pPr>
        <w:rPr>
          <w:color w:val="0A0A0A"/>
          <w:sz w:val="22"/>
          <w:szCs w:val="22"/>
        </w:rPr>
      </w:pPr>
      <w:r w:rsidRPr="00FF4EF0">
        <w:rPr>
          <w:color w:val="0A0A0A"/>
          <w:sz w:val="22"/>
          <w:szCs w:val="22"/>
        </w:rPr>
        <w:t xml:space="preserve">Tenure-line faculty members in departments with graduate programs are also expected </w:t>
      </w:r>
      <w:r w:rsidRPr="00FF4EF0">
        <w:rPr>
          <w:sz w:val="22"/>
          <w:szCs w:val="22"/>
        </w:rPr>
        <w:t xml:space="preserve">to mentor graduate students </w:t>
      </w:r>
      <w:r w:rsidRPr="00FF4EF0">
        <w:rPr>
          <w:color w:val="0A0A0A"/>
          <w:sz w:val="22"/>
          <w:szCs w:val="22"/>
        </w:rPr>
        <w:t>and direct graduate theses and dissertations.</w:t>
      </w:r>
    </w:p>
    <w:p w14:paraId="7C1ABCDC" w14:textId="77777777" w:rsidR="003C294D" w:rsidRPr="00FF4EF0" w:rsidRDefault="003C294D" w:rsidP="003C294D">
      <w:pPr>
        <w:rPr>
          <w:color w:val="0A0A0A"/>
          <w:sz w:val="22"/>
          <w:szCs w:val="22"/>
        </w:rPr>
      </w:pPr>
    </w:p>
    <w:p w14:paraId="712208C0" w14:textId="77ABA2E7" w:rsidR="00BD59D5" w:rsidRPr="007C4A6F" w:rsidRDefault="003C294D" w:rsidP="003C294D">
      <w:pPr>
        <w:rPr>
          <w:color w:val="0A0A0A"/>
          <w:sz w:val="22"/>
          <w:szCs w:val="22"/>
        </w:rPr>
      </w:pPr>
      <w:r>
        <w:rPr>
          <w:color w:val="0A0A0A"/>
          <w:sz w:val="22"/>
          <w:szCs w:val="22"/>
        </w:rPr>
        <w:t>All</w:t>
      </w:r>
      <w:r w:rsidRPr="00FF4EF0">
        <w:rPr>
          <w:color w:val="0A0A0A"/>
          <w:sz w:val="22"/>
          <w:szCs w:val="22"/>
        </w:rPr>
        <w:t xml:space="preserve"> teaching responsibilities </w:t>
      </w:r>
      <w:r>
        <w:rPr>
          <w:color w:val="0A0A0A"/>
          <w:sz w:val="22"/>
          <w:szCs w:val="22"/>
        </w:rPr>
        <w:t>should</w:t>
      </w:r>
      <w:r w:rsidRPr="00FF4EF0">
        <w:rPr>
          <w:color w:val="0A0A0A"/>
          <w:sz w:val="22"/>
          <w:szCs w:val="22"/>
        </w:rPr>
        <w:t xml:space="preserve"> be distributed equitably following established unit principles across the faculty, with rotation of duties set up as necessary.</w:t>
      </w:r>
    </w:p>
    <w:sectPr w:rsidR="00BD59D5" w:rsidRPr="007C4A6F">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D4923" w14:textId="77777777" w:rsidR="001443F2" w:rsidRDefault="001443F2" w:rsidP="004A044A">
      <w:r>
        <w:separator/>
      </w:r>
    </w:p>
  </w:endnote>
  <w:endnote w:type="continuationSeparator" w:id="0">
    <w:p w14:paraId="5C3D659E" w14:textId="77777777" w:rsidR="001443F2" w:rsidRDefault="001443F2" w:rsidP="004A0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eneva">
    <w:panose1 w:val="020B0503030404040204"/>
    <w:charset w:val="00"/>
    <w:family w:val="swiss"/>
    <w:pitch w:val="variable"/>
    <w:sig w:usb0="E00002FF" w:usb1="5200205F" w:usb2="00A0C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3896327"/>
      <w:docPartObj>
        <w:docPartGallery w:val="Page Numbers (Bottom of Page)"/>
        <w:docPartUnique/>
      </w:docPartObj>
    </w:sdtPr>
    <w:sdtEndPr>
      <w:rPr>
        <w:rStyle w:val="PageNumber"/>
      </w:rPr>
    </w:sdtEndPr>
    <w:sdtContent>
      <w:p w14:paraId="4D52147A" w14:textId="509B0DEF" w:rsidR="004A044A" w:rsidRDefault="004A044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AA1E1D" w14:textId="77777777" w:rsidR="004A044A" w:rsidRDefault="004A0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5619206"/>
      <w:docPartObj>
        <w:docPartGallery w:val="Page Numbers (Bottom of Page)"/>
        <w:docPartUnique/>
      </w:docPartObj>
    </w:sdtPr>
    <w:sdtEndPr>
      <w:rPr>
        <w:rStyle w:val="PageNumber"/>
      </w:rPr>
    </w:sdtEndPr>
    <w:sdtContent>
      <w:p w14:paraId="5802AD5A" w14:textId="6AEE5397" w:rsidR="004A044A" w:rsidRDefault="004A044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4E6197" w14:textId="77777777" w:rsidR="004A044A" w:rsidRDefault="004A0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8DF6B" w14:textId="77777777" w:rsidR="001443F2" w:rsidRDefault="001443F2" w:rsidP="004A044A">
      <w:r>
        <w:separator/>
      </w:r>
    </w:p>
  </w:footnote>
  <w:footnote w:type="continuationSeparator" w:id="0">
    <w:p w14:paraId="47B20FC8" w14:textId="77777777" w:rsidR="001443F2" w:rsidRDefault="001443F2" w:rsidP="004A0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2A40"/>
    <w:multiLevelType w:val="hybridMultilevel"/>
    <w:tmpl w:val="4E9E8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77CB8"/>
    <w:multiLevelType w:val="hybridMultilevel"/>
    <w:tmpl w:val="D8C47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1193F"/>
    <w:multiLevelType w:val="hybridMultilevel"/>
    <w:tmpl w:val="940A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47AC8"/>
    <w:multiLevelType w:val="hybridMultilevel"/>
    <w:tmpl w:val="29424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61D27"/>
    <w:multiLevelType w:val="hybridMultilevel"/>
    <w:tmpl w:val="44B6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2A6788"/>
    <w:multiLevelType w:val="hybridMultilevel"/>
    <w:tmpl w:val="3EBAC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C064C"/>
    <w:multiLevelType w:val="hybridMultilevel"/>
    <w:tmpl w:val="72583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9219D"/>
    <w:multiLevelType w:val="hybridMultilevel"/>
    <w:tmpl w:val="1BD62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E80628"/>
    <w:multiLevelType w:val="hybridMultilevel"/>
    <w:tmpl w:val="AFCCA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0C0B2A"/>
    <w:multiLevelType w:val="hybridMultilevel"/>
    <w:tmpl w:val="0BAE55D8"/>
    <w:lvl w:ilvl="0" w:tplc="04090001">
      <w:start w:val="1"/>
      <w:numFmt w:val="bullet"/>
      <w:lvlText w:val=""/>
      <w:lvlJc w:val="left"/>
      <w:pPr>
        <w:ind w:left="1838" w:hanging="360"/>
      </w:pPr>
      <w:rPr>
        <w:rFonts w:ascii="Symbol" w:hAnsi="Symbol" w:hint="default"/>
      </w:rPr>
    </w:lvl>
    <w:lvl w:ilvl="1" w:tplc="04090003">
      <w:start w:val="1"/>
      <w:numFmt w:val="bullet"/>
      <w:lvlText w:val="o"/>
      <w:lvlJc w:val="left"/>
      <w:pPr>
        <w:ind w:left="2558" w:hanging="360"/>
      </w:pPr>
      <w:rPr>
        <w:rFonts w:ascii="Courier New" w:hAnsi="Courier New" w:cs="Courier New" w:hint="default"/>
      </w:rPr>
    </w:lvl>
    <w:lvl w:ilvl="2" w:tplc="04090005">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10" w15:restartNumberingAfterBreak="0">
    <w:nsid w:val="770B4386"/>
    <w:multiLevelType w:val="hybridMultilevel"/>
    <w:tmpl w:val="EB48A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290395">
    <w:abstractNumId w:val="0"/>
  </w:num>
  <w:num w:numId="2" w16cid:durableId="1911231578">
    <w:abstractNumId w:val="9"/>
  </w:num>
  <w:num w:numId="3" w16cid:durableId="826171776">
    <w:abstractNumId w:val="7"/>
  </w:num>
  <w:num w:numId="4" w16cid:durableId="1552616327">
    <w:abstractNumId w:val="8"/>
  </w:num>
  <w:num w:numId="5" w16cid:durableId="2822215">
    <w:abstractNumId w:val="2"/>
  </w:num>
  <w:num w:numId="6" w16cid:durableId="1200816945">
    <w:abstractNumId w:val="4"/>
  </w:num>
  <w:num w:numId="7" w16cid:durableId="1888252956">
    <w:abstractNumId w:val="5"/>
  </w:num>
  <w:num w:numId="8" w16cid:durableId="209196794">
    <w:abstractNumId w:val="6"/>
  </w:num>
  <w:num w:numId="9" w16cid:durableId="506361948">
    <w:abstractNumId w:val="3"/>
  </w:num>
  <w:num w:numId="10" w16cid:durableId="1728067306">
    <w:abstractNumId w:val="10"/>
  </w:num>
  <w:num w:numId="11" w16cid:durableId="143162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BD5"/>
    <w:rsid w:val="000053D7"/>
    <w:rsid w:val="000059BC"/>
    <w:rsid w:val="00006204"/>
    <w:rsid w:val="000101F0"/>
    <w:rsid w:val="0001156F"/>
    <w:rsid w:val="00014334"/>
    <w:rsid w:val="000230EF"/>
    <w:rsid w:val="00025B74"/>
    <w:rsid w:val="00027D8C"/>
    <w:rsid w:val="00043E32"/>
    <w:rsid w:val="00047198"/>
    <w:rsid w:val="00060920"/>
    <w:rsid w:val="0007019A"/>
    <w:rsid w:val="00071C83"/>
    <w:rsid w:val="000727D5"/>
    <w:rsid w:val="000751C6"/>
    <w:rsid w:val="00075BA6"/>
    <w:rsid w:val="00076473"/>
    <w:rsid w:val="00077F85"/>
    <w:rsid w:val="0009680A"/>
    <w:rsid w:val="000A127D"/>
    <w:rsid w:val="000A1CB8"/>
    <w:rsid w:val="000A4F54"/>
    <w:rsid w:val="000A736A"/>
    <w:rsid w:val="000A770B"/>
    <w:rsid w:val="000B2372"/>
    <w:rsid w:val="000B2F70"/>
    <w:rsid w:val="000B66B6"/>
    <w:rsid w:val="000B72DE"/>
    <w:rsid w:val="000B7D8D"/>
    <w:rsid w:val="000C0BD5"/>
    <w:rsid w:val="000C0FE8"/>
    <w:rsid w:val="000C36FB"/>
    <w:rsid w:val="000C67DC"/>
    <w:rsid w:val="000D1EB7"/>
    <w:rsid w:val="000D55E1"/>
    <w:rsid w:val="000D68C5"/>
    <w:rsid w:val="000E6955"/>
    <w:rsid w:val="000E704D"/>
    <w:rsid w:val="000E799B"/>
    <w:rsid w:val="000F0966"/>
    <w:rsid w:val="000F275B"/>
    <w:rsid w:val="001024F4"/>
    <w:rsid w:val="00111612"/>
    <w:rsid w:val="00112888"/>
    <w:rsid w:val="00120F12"/>
    <w:rsid w:val="00123A36"/>
    <w:rsid w:val="00124746"/>
    <w:rsid w:val="00127E60"/>
    <w:rsid w:val="0013079F"/>
    <w:rsid w:val="00130D69"/>
    <w:rsid w:val="001335DC"/>
    <w:rsid w:val="00140206"/>
    <w:rsid w:val="001421AE"/>
    <w:rsid w:val="001443F2"/>
    <w:rsid w:val="00147F37"/>
    <w:rsid w:val="001512D0"/>
    <w:rsid w:val="00151CBA"/>
    <w:rsid w:val="00152551"/>
    <w:rsid w:val="00154C1D"/>
    <w:rsid w:val="00162BC3"/>
    <w:rsid w:val="00162C5D"/>
    <w:rsid w:val="00165EE1"/>
    <w:rsid w:val="0017217B"/>
    <w:rsid w:val="0017234C"/>
    <w:rsid w:val="0018053B"/>
    <w:rsid w:val="001807A1"/>
    <w:rsid w:val="001863BA"/>
    <w:rsid w:val="0018766F"/>
    <w:rsid w:val="0019183F"/>
    <w:rsid w:val="001A16B1"/>
    <w:rsid w:val="001A3539"/>
    <w:rsid w:val="001A3544"/>
    <w:rsid w:val="001A36C3"/>
    <w:rsid w:val="001A7D25"/>
    <w:rsid w:val="001B122D"/>
    <w:rsid w:val="001B323F"/>
    <w:rsid w:val="001B4EF0"/>
    <w:rsid w:val="001B745E"/>
    <w:rsid w:val="001C25FA"/>
    <w:rsid w:val="001D236D"/>
    <w:rsid w:val="001D4BDE"/>
    <w:rsid w:val="001E5687"/>
    <w:rsid w:val="001E76A9"/>
    <w:rsid w:val="001F077B"/>
    <w:rsid w:val="001F6335"/>
    <w:rsid w:val="002002F9"/>
    <w:rsid w:val="00210642"/>
    <w:rsid w:val="002128DA"/>
    <w:rsid w:val="00212A68"/>
    <w:rsid w:val="0021758D"/>
    <w:rsid w:val="00223B6E"/>
    <w:rsid w:val="002307AB"/>
    <w:rsid w:val="00232294"/>
    <w:rsid w:val="00250BFE"/>
    <w:rsid w:val="00252719"/>
    <w:rsid w:val="00260440"/>
    <w:rsid w:val="002617EE"/>
    <w:rsid w:val="0026735B"/>
    <w:rsid w:val="002744A9"/>
    <w:rsid w:val="002744DF"/>
    <w:rsid w:val="00276FE5"/>
    <w:rsid w:val="00277024"/>
    <w:rsid w:val="00280A66"/>
    <w:rsid w:val="0028500C"/>
    <w:rsid w:val="00286B1A"/>
    <w:rsid w:val="002975DE"/>
    <w:rsid w:val="002A53A3"/>
    <w:rsid w:val="002B2641"/>
    <w:rsid w:val="002B3064"/>
    <w:rsid w:val="002B3449"/>
    <w:rsid w:val="002C714F"/>
    <w:rsid w:val="002C7D48"/>
    <w:rsid w:val="002D0491"/>
    <w:rsid w:val="002D13B6"/>
    <w:rsid w:val="002E1E92"/>
    <w:rsid w:val="002F21FA"/>
    <w:rsid w:val="002F3BDF"/>
    <w:rsid w:val="003006A1"/>
    <w:rsid w:val="00300D3C"/>
    <w:rsid w:val="0030494A"/>
    <w:rsid w:val="00304E5C"/>
    <w:rsid w:val="00310E9C"/>
    <w:rsid w:val="003117E6"/>
    <w:rsid w:val="00311E10"/>
    <w:rsid w:val="00311FEC"/>
    <w:rsid w:val="003154BA"/>
    <w:rsid w:val="00316939"/>
    <w:rsid w:val="00320E66"/>
    <w:rsid w:val="003225C9"/>
    <w:rsid w:val="003304C8"/>
    <w:rsid w:val="003324CB"/>
    <w:rsid w:val="003400F8"/>
    <w:rsid w:val="003424DC"/>
    <w:rsid w:val="003442F6"/>
    <w:rsid w:val="0034431E"/>
    <w:rsid w:val="003448AD"/>
    <w:rsid w:val="0035165D"/>
    <w:rsid w:val="00351870"/>
    <w:rsid w:val="003545FF"/>
    <w:rsid w:val="00356774"/>
    <w:rsid w:val="00361BBB"/>
    <w:rsid w:val="00361FAB"/>
    <w:rsid w:val="003626F6"/>
    <w:rsid w:val="00365E93"/>
    <w:rsid w:val="00370A49"/>
    <w:rsid w:val="003710E7"/>
    <w:rsid w:val="00372149"/>
    <w:rsid w:val="00377196"/>
    <w:rsid w:val="003816B0"/>
    <w:rsid w:val="00381C55"/>
    <w:rsid w:val="003836F7"/>
    <w:rsid w:val="00383AFB"/>
    <w:rsid w:val="00385AC6"/>
    <w:rsid w:val="0038637F"/>
    <w:rsid w:val="0038765A"/>
    <w:rsid w:val="00393583"/>
    <w:rsid w:val="00394386"/>
    <w:rsid w:val="003972EC"/>
    <w:rsid w:val="003A128F"/>
    <w:rsid w:val="003A2AA5"/>
    <w:rsid w:val="003A31E0"/>
    <w:rsid w:val="003A5A9C"/>
    <w:rsid w:val="003B08BD"/>
    <w:rsid w:val="003B1632"/>
    <w:rsid w:val="003B1CC3"/>
    <w:rsid w:val="003C294D"/>
    <w:rsid w:val="003C645A"/>
    <w:rsid w:val="003C6BB6"/>
    <w:rsid w:val="003F356B"/>
    <w:rsid w:val="003F510B"/>
    <w:rsid w:val="003F6233"/>
    <w:rsid w:val="0040287E"/>
    <w:rsid w:val="00407F98"/>
    <w:rsid w:val="00414DA2"/>
    <w:rsid w:val="0041544C"/>
    <w:rsid w:val="00422140"/>
    <w:rsid w:val="00430C05"/>
    <w:rsid w:val="004347B8"/>
    <w:rsid w:val="00437109"/>
    <w:rsid w:val="004405B2"/>
    <w:rsid w:val="00444B1F"/>
    <w:rsid w:val="00445369"/>
    <w:rsid w:val="0044765F"/>
    <w:rsid w:val="00461573"/>
    <w:rsid w:val="00462465"/>
    <w:rsid w:val="00462792"/>
    <w:rsid w:val="004650A5"/>
    <w:rsid w:val="00466B1F"/>
    <w:rsid w:val="00472CE9"/>
    <w:rsid w:val="00481088"/>
    <w:rsid w:val="004814AD"/>
    <w:rsid w:val="00487227"/>
    <w:rsid w:val="00491308"/>
    <w:rsid w:val="00494FE1"/>
    <w:rsid w:val="00497BC9"/>
    <w:rsid w:val="004A044A"/>
    <w:rsid w:val="004A0D24"/>
    <w:rsid w:val="004A1D3E"/>
    <w:rsid w:val="004A5563"/>
    <w:rsid w:val="004A6D36"/>
    <w:rsid w:val="004B0180"/>
    <w:rsid w:val="004B0DEC"/>
    <w:rsid w:val="004B15ED"/>
    <w:rsid w:val="004B2728"/>
    <w:rsid w:val="004B3005"/>
    <w:rsid w:val="004B5DBB"/>
    <w:rsid w:val="004C6D46"/>
    <w:rsid w:val="004C753B"/>
    <w:rsid w:val="004D0230"/>
    <w:rsid w:val="004D1785"/>
    <w:rsid w:val="004D1A7A"/>
    <w:rsid w:val="004D34BD"/>
    <w:rsid w:val="004D36FB"/>
    <w:rsid w:val="004D5AE9"/>
    <w:rsid w:val="004D7803"/>
    <w:rsid w:val="004E5169"/>
    <w:rsid w:val="004E62D1"/>
    <w:rsid w:val="004F0B70"/>
    <w:rsid w:val="004F1348"/>
    <w:rsid w:val="004F397C"/>
    <w:rsid w:val="004F7358"/>
    <w:rsid w:val="00500123"/>
    <w:rsid w:val="0050455C"/>
    <w:rsid w:val="00507EF9"/>
    <w:rsid w:val="005115BB"/>
    <w:rsid w:val="0051285D"/>
    <w:rsid w:val="00512A48"/>
    <w:rsid w:val="005132D1"/>
    <w:rsid w:val="00513A5F"/>
    <w:rsid w:val="00517D35"/>
    <w:rsid w:val="00517ED8"/>
    <w:rsid w:val="005346E6"/>
    <w:rsid w:val="00537711"/>
    <w:rsid w:val="00542BA0"/>
    <w:rsid w:val="00544F76"/>
    <w:rsid w:val="0054627C"/>
    <w:rsid w:val="00547C31"/>
    <w:rsid w:val="005543B0"/>
    <w:rsid w:val="00557F3D"/>
    <w:rsid w:val="00562CD3"/>
    <w:rsid w:val="00564E5E"/>
    <w:rsid w:val="00567600"/>
    <w:rsid w:val="005719AC"/>
    <w:rsid w:val="00572F6D"/>
    <w:rsid w:val="005742DA"/>
    <w:rsid w:val="00574EE2"/>
    <w:rsid w:val="00575411"/>
    <w:rsid w:val="00582119"/>
    <w:rsid w:val="0058280D"/>
    <w:rsid w:val="00583543"/>
    <w:rsid w:val="00587920"/>
    <w:rsid w:val="00591F60"/>
    <w:rsid w:val="005946A3"/>
    <w:rsid w:val="005965CE"/>
    <w:rsid w:val="005968D1"/>
    <w:rsid w:val="005A6474"/>
    <w:rsid w:val="005A6839"/>
    <w:rsid w:val="005B07FA"/>
    <w:rsid w:val="005B1EB7"/>
    <w:rsid w:val="005B790E"/>
    <w:rsid w:val="005C0108"/>
    <w:rsid w:val="005C5011"/>
    <w:rsid w:val="005C74F7"/>
    <w:rsid w:val="005D283C"/>
    <w:rsid w:val="005D3DDF"/>
    <w:rsid w:val="005D7AD3"/>
    <w:rsid w:val="005D7BFE"/>
    <w:rsid w:val="005F2A60"/>
    <w:rsid w:val="005F698A"/>
    <w:rsid w:val="005F7F16"/>
    <w:rsid w:val="0060224D"/>
    <w:rsid w:val="00602375"/>
    <w:rsid w:val="00610B3C"/>
    <w:rsid w:val="00613B6D"/>
    <w:rsid w:val="00613E30"/>
    <w:rsid w:val="00620388"/>
    <w:rsid w:val="0062050E"/>
    <w:rsid w:val="006217EF"/>
    <w:rsid w:val="00623EE8"/>
    <w:rsid w:val="00626CF3"/>
    <w:rsid w:val="006276BE"/>
    <w:rsid w:val="00630CA6"/>
    <w:rsid w:val="00632EF6"/>
    <w:rsid w:val="0064297B"/>
    <w:rsid w:val="00650164"/>
    <w:rsid w:val="00656971"/>
    <w:rsid w:val="00660A35"/>
    <w:rsid w:val="0066247F"/>
    <w:rsid w:val="00667C83"/>
    <w:rsid w:val="00676028"/>
    <w:rsid w:val="00676B04"/>
    <w:rsid w:val="006869D9"/>
    <w:rsid w:val="006A2BBA"/>
    <w:rsid w:val="006A376C"/>
    <w:rsid w:val="006A45D5"/>
    <w:rsid w:val="006A6C9C"/>
    <w:rsid w:val="006A78A7"/>
    <w:rsid w:val="006C1092"/>
    <w:rsid w:val="006C11F3"/>
    <w:rsid w:val="006D221F"/>
    <w:rsid w:val="006D4073"/>
    <w:rsid w:val="006D7407"/>
    <w:rsid w:val="006D74A3"/>
    <w:rsid w:val="006E0619"/>
    <w:rsid w:val="006E077E"/>
    <w:rsid w:val="006E66B3"/>
    <w:rsid w:val="006F041A"/>
    <w:rsid w:val="006F753B"/>
    <w:rsid w:val="006F7FC1"/>
    <w:rsid w:val="0070043C"/>
    <w:rsid w:val="0070129C"/>
    <w:rsid w:val="00703670"/>
    <w:rsid w:val="0070400D"/>
    <w:rsid w:val="00705AD3"/>
    <w:rsid w:val="00706A63"/>
    <w:rsid w:val="00707B16"/>
    <w:rsid w:val="007100BF"/>
    <w:rsid w:val="007113E2"/>
    <w:rsid w:val="0071234E"/>
    <w:rsid w:val="007128E4"/>
    <w:rsid w:val="00717756"/>
    <w:rsid w:val="00720361"/>
    <w:rsid w:val="00727B94"/>
    <w:rsid w:val="0073081E"/>
    <w:rsid w:val="00737756"/>
    <w:rsid w:val="007379A0"/>
    <w:rsid w:val="0074074B"/>
    <w:rsid w:val="00743C5D"/>
    <w:rsid w:val="00750C95"/>
    <w:rsid w:val="00753A6B"/>
    <w:rsid w:val="0075424C"/>
    <w:rsid w:val="00756FFE"/>
    <w:rsid w:val="00762A2C"/>
    <w:rsid w:val="007661CB"/>
    <w:rsid w:val="00767E15"/>
    <w:rsid w:val="007704AE"/>
    <w:rsid w:val="007711CB"/>
    <w:rsid w:val="00771620"/>
    <w:rsid w:val="0078002D"/>
    <w:rsid w:val="007835A8"/>
    <w:rsid w:val="00783E62"/>
    <w:rsid w:val="00784C94"/>
    <w:rsid w:val="00785DDA"/>
    <w:rsid w:val="007868EB"/>
    <w:rsid w:val="007904C9"/>
    <w:rsid w:val="007924F2"/>
    <w:rsid w:val="00793B04"/>
    <w:rsid w:val="00794550"/>
    <w:rsid w:val="007A048D"/>
    <w:rsid w:val="007A0945"/>
    <w:rsid w:val="007A503B"/>
    <w:rsid w:val="007A5DBC"/>
    <w:rsid w:val="007B280B"/>
    <w:rsid w:val="007B506F"/>
    <w:rsid w:val="007B5196"/>
    <w:rsid w:val="007C1357"/>
    <w:rsid w:val="007C1DD6"/>
    <w:rsid w:val="007C3B34"/>
    <w:rsid w:val="007C4A6F"/>
    <w:rsid w:val="007C5712"/>
    <w:rsid w:val="007C6368"/>
    <w:rsid w:val="007D0008"/>
    <w:rsid w:val="007D13F2"/>
    <w:rsid w:val="007D7848"/>
    <w:rsid w:val="007E01AF"/>
    <w:rsid w:val="007E08F6"/>
    <w:rsid w:val="007E0FC1"/>
    <w:rsid w:val="007E196D"/>
    <w:rsid w:val="007E3684"/>
    <w:rsid w:val="007E51F0"/>
    <w:rsid w:val="007E5D4A"/>
    <w:rsid w:val="007E7432"/>
    <w:rsid w:val="007F0B53"/>
    <w:rsid w:val="007F1A47"/>
    <w:rsid w:val="007F3497"/>
    <w:rsid w:val="007F49D0"/>
    <w:rsid w:val="00801C02"/>
    <w:rsid w:val="00801C39"/>
    <w:rsid w:val="0080352B"/>
    <w:rsid w:val="00803737"/>
    <w:rsid w:val="0080628C"/>
    <w:rsid w:val="00806AB1"/>
    <w:rsid w:val="0080727A"/>
    <w:rsid w:val="00816BCA"/>
    <w:rsid w:val="008173F0"/>
    <w:rsid w:val="008177E5"/>
    <w:rsid w:val="00826FBB"/>
    <w:rsid w:val="008345E1"/>
    <w:rsid w:val="00837406"/>
    <w:rsid w:val="0084096D"/>
    <w:rsid w:val="00844D23"/>
    <w:rsid w:val="00847896"/>
    <w:rsid w:val="00851965"/>
    <w:rsid w:val="00853F0E"/>
    <w:rsid w:val="008546A5"/>
    <w:rsid w:val="008547AB"/>
    <w:rsid w:val="00854F2B"/>
    <w:rsid w:val="0085743F"/>
    <w:rsid w:val="00860027"/>
    <w:rsid w:val="00862C73"/>
    <w:rsid w:val="00876C1B"/>
    <w:rsid w:val="00877D69"/>
    <w:rsid w:val="00897591"/>
    <w:rsid w:val="00897DDE"/>
    <w:rsid w:val="008A2B91"/>
    <w:rsid w:val="008A53D1"/>
    <w:rsid w:val="008B18EF"/>
    <w:rsid w:val="008B53A5"/>
    <w:rsid w:val="008D30CE"/>
    <w:rsid w:val="008D59E9"/>
    <w:rsid w:val="008D73B3"/>
    <w:rsid w:val="008E2248"/>
    <w:rsid w:val="008E3E33"/>
    <w:rsid w:val="008E5931"/>
    <w:rsid w:val="008F0437"/>
    <w:rsid w:val="008F54FE"/>
    <w:rsid w:val="008F63F0"/>
    <w:rsid w:val="008F7A48"/>
    <w:rsid w:val="008F7CD0"/>
    <w:rsid w:val="00903A99"/>
    <w:rsid w:val="00904D9F"/>
    <w:rsid w:val="00907543"/>
    <w:rsid w:val="0091015D"/>
    <w:rsid w:val="009102BF"/>
    <w:rsid w:val="00910F99"/>
    <w:rsid w:val="00912544"/>
    <w:rsid w:val="0091257D"/>
    <w:rsid w:val="00912860"/>
    <w:rsid w:val="00913B9B"/>
    <w:rsid w:val="00914B72"/>
    <w:rsid w:val="0091514A"/>
    <w:rsid w:val="009165FE"/>
    <w:rsid w:val="00922BF0"/>
    <w:rsid w:val="00927612"/>
    <w:rsid w:val="0093014E"/>
    <w:rsid w:val="00933FEB"/>
    <w:rsid w:val="00945C8F"/>
    <w:rsid w:val="0094794B"/>
    <w:rsid w:val="00953494"/>
    <w:rsid w:val="00954386"/>
    <w:rsid w:val="00955869"/>
    <w:rsid w:val="009570BF"/>
    <w:rsid w:val="00960690"/>
    <w:rsid w:val="00964A0A"/>
    <w:rsid w:val="00965719"/>
    <w:rsid w:val="00966B5D"/>
    <w:rsid w:val="00967681"/>
    <w:rsid w:val="00972483"/>
    <w:rsid w:val="009825C4"/>
    <w:rsid w:val="00983D3E"/>
    <w:rsid w:val="0098696C"/>
    <w:rsid w:val="0099036F"/>
    <w:rsid w:val="009A20D2"/>
    <w:rsid w:val="009A5DE7"/>
    <w:rsid w:val="009B14ED"/>
    <w:rsid w:val="009B22CE"/>
    <w:rsid w:val="009C2343"/>
    <w:rsid w:val="009C3F38"/>
    <w:rsid w:val="009C48B7"/>
    <w:rsid w:val="009C72D4"/>
    <w:rsid w:val="009D0F1C"/>
    <w:rsid w:val="009D1411"/>
    <w:rsid w:val="009D2B86"/>
    <w:rsid w:val="009D712D"/>
    <w:rsid w:val="009E5143"/>
    <w:rsid w:val="009E6637"/>
    <w:rsid w:val="009E6BAA"/>
    <w:rsid w:val="009E79F5"/>
    <w:rsid w:val="009E7B04"/>
    <w:rsid w:val="009F34FD"/>
    <w:rsid w:val="009F7246"/>
    <w:rsid w:val="00A003CC"/>
    <w:rsid w:val="00A005BF"/>
    <w:rsid w:val="00A029EB"/>
    <w:rsid w:val="00A02D72"/>
    <w:rsid w:val="00A10583"/>
    <w:rsid w:val="00A10900"/>
    <w:rsid w:val="00A13452"/>
    <w:rsid w:val="00A13E76"/>
    <w:rsid w:val="00A16D2D"/>
    <w:rsid w:val="00A2554D"/>
    <w:rsid w:val="00A30332"/>
    <w:rsid w:val="00A37776"/>
    <w:rsid w:val="00A4289E"/>
    <w:rsid w:val="00A44CEC"/>
    <w:rsid w:val="00A45C5E"/>
    <w:rsid w:val="00A717A9"/>
    <w:rsid w:val="00A726D4"/>
    <w:rsid w:val="00A72EDB"/>
    <w:rsid w:val="00A7430D"/>
    <w:rsid w:val="00A7454A"/>
    <w:rsid w:val="00A7460A"/>
    <w:rsid w:val="00A7783A"/>
    <w:rsid w:val="00A77F9B"/>
    <w:rsid w:val="00A804BC"/>
    <w:rsid w:val="00A82FA6"/>
    <w:rsid w:val="00A833B5"/>
    <w:rsid w:val="00A867E9"/>
    <w:rsid w:val="00A87E30"/>
    <w:rsid w:val="00A91274"/>
    <w:rsid w:val="00A93039"/>
    <w:rsid w:val="00A94CFE"/>
    <w:rsid w:val="00A97874"/>
    <w:rsid w:val="00AA08B8"/>
    <w:rsid w:val="00AA4FCE"/>
    <w:rsid w:val="00AA63D9"/>
    <w:rsid w:val="00AA6F06"/>
    <w:rsid w:val="00AA75FE"/>
    <w:rsid w:val="00AB117F"/>
    <w:rsid w:val="00AB118D"/>
    <w:rsid w:val="00AB1520"/>
    <w:rsid w:val="00AB3867"/>
    <w:rsid w:val="00AB7B67"/>
    <w:rsid w:val="00AC1540"/>
    <w:rsid w:val="00AC26D4"/>
    <w:rsid w:val="00AC29C3"/>
    <w:rsid w:val="00AC3DF4"/>
    <w:rsid w:val="00AC5981"/>
    <w:rsid w:val="00AC5ADD"/>
    <w:rsid w:val="00AC6A57"/>
    <w:rsid w:val="00AC7A51"/>
    <w:rsid w:val="00AD54D7"/>
    <w:rsid w:val="00AE003C"/>
    <w:rsid w:val="00AE2390"/>
    <w:rsid w:val="00AF281C"/>
    <w:rsid w:val="00AF3603"/>
    <w:rsid w:val="00AF5EBB"/>
    <w:rsid w:val="00B03607"/>
    <w:rsid w:val="00B055BD"/>
    <w:rsid w:val="00B21389"/>
    <w:rsid w:val="00B216B8"/>
    <w:rsid w:val="00B2472F"/>
    <w:rsid w:val="00B24F64"/>
    <w:rsid w:val="00B2573C"/>
    <w:rsid w:val="00B270FC"/>
    <w:rsid w:val="00B35030"/>
    <w:rsid w:val="00B356CC"/>
    <w:rsid w:val="00B40D1B"/>
    <w:rsid w:val="00B44592"/>
    <w:rsid w:val="00B44607"/>
    <w:rsid w:val="00B45773"/>
    <w:rsid w:val="00B53803"/>
    <w:rsid w:val="00B57073"/>
    <w:rsid w:val="00B63F7B"/>
    <w:rsid w:val="00B65388"/>
    <w:rsid w:val="00B67FA1"/>
    <w:rsid w:val="00B7080D"/>
    <w:rsid w:val="00B70C0A"/>
    <w:rsid w:val="00B76B1B"/>
    <w:rsid w:val="00B76B47"/>
    <w:rsid w:val="00B7719A"/>
    <w:rsid w:val="00B77700"/>
    <w:rsid w:val="00B80194"/>
    <w:rsid w:val="00B86629"/>
    <w:rsid w:val="00B87489"/>
    <w:rsid w:val="00B90E2F"/>
    <w:rsid w:val="00B9246E"/>
    <w:rsid w:val="00B92EC4"/>
    <w:rsid w:val="00B9450A"/>
    <w:rsid w:val="00B94877"/>
    <w:rsid w:val="00B9701D"/>
    <w:rsid w:val="00BA5F25"/>
    <w:rsid w:val="00BA6748"/>
    <w:rsid w:val="00BB61BC"/>
    <w:rsid w:val="00BB7C37"/>
    <w:rsid w:val="00BC007D"/>
    <w:rsid w:val="00BC1CFD"/>
    <w:rsid w:val="00BD59D5"/>
    <w:rsid w:val="00BD6CFB"/>
    <w:rsid w:val="00BD70EF"/>
    <w:rsid w:val="00BE56C3"/>
    <w:rsid w:val="00BE65DF"/>
    <w:rsid w:val="00BF47C1"/>
    <w:rsid w:val="00BF5336"/>
    <w:rsid w:val="00BF7801"/>
    <w:rsid w:val="00C01D2B"/>
    <w:rsid w:val="00C03CDE"/>
    <w:rsid w:val="00C040B8"/>
    <w:rsid w:val="00C06C38"/>
    <w:rsid w:val="00C07B3A"/>
    <w:rsid w:val="00C11A93"/>
    <w:rsid w:val="00C126BD"/>
    <w:rsid w:val="00C13891"/>
    <w:rsid w:val="00C14C90"/>
    <w:rsid w:val="00C16AF7"/>
    <w:rsid w:val="00C25830"/>
    <w:rsid w:val="00C25B6C"/>
    <w:rsid w:val="00C260C5"/>
    <w:rsid w:val="00C36300"/>
    <w:rsid w:val="00C404A4"/>
    <w:rsid w:val="00C40D76"/>
    <w:rsid w:val="00C4235A"/>
    <w:rsid w:val="00C44BF4"/>
    <w:rsid w:val="00C47A09"/>
    <w:rsid w:val="00C50988"/>
    <w:rsid w:val="00C5128A"/>
    <w:rsid w:val="00C5174A"/>
    <w:rsid w:val="00C51EB4"/>
    <w:rsid w:val="00C5272D"/>
    <w:rsid w:val="00C55F25"/>
    <w:rsid w:val="00C60504"/>
    <w:rsid w:val="00C67362"/>
    <w:rsid w:val="00C71103"/>
    <w:rsid w:val="00C72D03"/>
    <w:rsid w:val="00C76746"/>
    <w:rsid w:val="00C7767C"/>
    <w:rsid w:val="00C77CB0"/>
    <w:rsid w:val="00C80CEC"/>
    <w:rsid w:val="00C80D26"/>
    <w:rsid w:val="00C846A8"/>
    <w:rsid w:val="00C84F2E"/>
    <w:rsid w:val="00C877EF"/>
    <w:rsid w:val="00C8784B"/>
    <w:rsid w:val="00C93999"/>
    <w:rsid w:val="00CA41B8"/>
    <w:rsid w:val="00CB3E71"/>
    <w:rsid w:val="00CB4BD7"/>
    <w:rsid w:val="00CB4E69"/>
    <w:rsid w:val="00CB5653"/>
    <w:rsid w:val="00CB5C42"/>
    <w:rsid w:val="00CC2944"/>
    <w:rsid w:val="00CC2C89"/>
    <w:rsid w:val="00CC5E8F"/>
    <w:rsid w:val="00CD0B1D"/>
    <w:rsid w:val="00CD3864"/>
    <w:rsid w:val="00CD5BD6"/>
    <w:rsid w:val="00CE4CF3"/>
    <w:rsid w:val="00CE741A"/>
    <w:rsid w:val="00CF4D39"/>
    <w:rsid w:val="00CF59FC"/>
    <w:rsid w:val="00D006C5"/>
    <w:rsid w:val="00D12C40"/>
    <w:rsid w:val="00D1323B"/>
    <w:rsid w:val="00D140D2"/>
    <w:rsid w:val="00D23048"/>
    <w:rsid w:val="00D231F1"/>
    <w:rsid w:val="00D24145"/>
    <w:rsid w:val="00D33D59"/>
    <w:rsid w:val="00D3476F"/>
    <w:rsid w:val="00D3703B"/>
    <w:rsid w:val="00D40246"/>
    <w:rsid w:val="00D43053"/>
    <w:rsid w:val="00D53392"/>
    <w:rsid w:val="00D54AEE"/>
    <w:rsid w:val="00D56035"/>
    <w:rsid w:val="00D60D74"/>
    <w:rsid w:val="00D60EA5"/>
    <w:rsid w:val="00D624D4"/>
    <w:rsid w:val="00D63C64"/>
    <w:rsid w:val="00D73499"/>
    <w:rsid w:val="00D76F94"/>
    <w:rsid w:val="00D947AF"/>
    <w:rsid w:val="00DA2ACF"/>
    <w:rsid w:val="00DA56B3"/>
    <w:rsid w:val="00DB0053"/>
    <w:rsid w:val="00DB2629"/>
    <w:rsid w:val="00DB37E8"/>
    <w:rsid w:val="00DB5C5B"/>
    <w:rsid w:val="00DB6C38"/>
    <w:rsid w:val="00DC3217"/>
    <w:rsid w:val="00DC6072"/>
    <w:rsid w:val="00DD170B"/>
    <w:rsid w:val="00DD1C16"/>
    <w:rsid w:val="00DD1E39"/>
    <w:rsid w:val="00DD449E"/>
    <w:rsid w:val="00DD6A4D"/>
    <w:rsid w:val="00DE21E6"/>
    <w:rsid w:val="00DE3977"/>
    <w:rsid w:val="00DF09CE"/>
    <w:rsid w:val="00E0139B"/>
    <w:rsid w:val="00E0261B"/>
    <w:rsid w:val="00E12B9F"/>
    <w:rsid w:val="00E12F4B"/>
    <w:rsid w:val="00E160A9"/>
    <w:rsid w:val="00E16891"/>
    <w:rsid w:val="00E2184B"/>
    <w:rsid w:val="00E22743"/>
    <w:rsid w:val="00E26BA4"/>
    <w:rsid w:val="00E2744C"/>
    <w:rsid w:val="00E31DB8"/>
    <w:rsid w:val="00E364AA"/>
    <w:rsid w:val="00E367F4"/>
    <w:rsid w:val="00E4385D"/>
    <w:rsid w:val="00E43DD8"/>
    <w:rsid w:val="00E46813"/>
    <w:rsid w:val="00E4713A"/>
    <w:rsid w:val="00E57E8B"/>
    <w:rsid w:val="00E71081"/>
    <w:rsid w:val="00E71CF4"/>
    <w:rsid w:val="00E747DA"/>
    <w:rsid w:val="00E7592F"/>
    <w:rsid w:val="00E762B1"/>
    <w:rsid w:val="00E809AA"/>
    <w:rsid w:val="00E812B0"/>
    <w:rsid w:val="00E81BD6"/>
    <w:rsid w:val="00E84C3F"/>
    <w:rsid w:val="00E875AD"/>
    <w:rsid w:val="00EA534E"/>
    <w:rsid w:val="00EA7A0D"/>
    <w:rsid w:val="00EB7C83"/>
    <w:rsid w:val="00EC6E65"/>
    <w:rsid w:val="00ED0368"/>
    <w:rsid w:val="00ED1C89"/>
    <w:rsid w:val="00ED5F5D"/>
    <w:rsid w:val="00ED72DE"/>
    <w:rsid w:val="00ED7511"/>
    <w:rsid w:val="00EE12D0"/>
    <w:rsid w:val="00EE1702"/>
    <w:rsid w:val="00EE1B7D"/>
    <w:rsid w:val="00EE2B6A"/>
    <w:rsid w:val="00EE2E05"/>
    <w:rsid w:val="00EE4D0F"/>
    <w:rsid w:val="00EE5AF0"/>
    <w:rsid w:val="00EF0AA3"/>
    <w:rsid w:val="00EF1737"/>
    <w:rsid w:val="00EF2B6E"/>
    <w:rsid w:val="00EF4FE6"/>
    <w:rsid w:val="00EF5C70"/>
    <w:rsid w:val="00EF6608"/>
    <w:rsid w:val="00EF7C0B"/>
    <w:rsid w:val="00EF7CA1"/>
    <w:rsid w:val="00F1028C"/>
    <w:rsid w:val="00F127B3"/>
    <w:rsid w:val="00F13729"/>
    <w:rsid w:val="00F23D84"/>
    <w:rsid w:val="00F30872"/>
    <w:rsid w:val="00F328ED"/>
    <w:rsid w:val="00F34C86"/>
    <w:rsid w:val="00F4143D"/>
    <w:rsid w:val="00F5185D"/>
    <w:rsid w:val="00F51F3B"/>
    <w:rsid w:val="00F52B4B"/>
    <w:rsid w:val="00F56759"/>
    <w:rsid w:val="00F60131"/>
    <w:rsid w:val="00F644CB"/>
    <w:rsid w:val="00F67E39"/>
    <w:rsid w:val="00F7309B"/>
    <w:rsid w:val="00F73F24"/>
    <w:rsid w:val="00F77943"/>
    <w:rsid w:val="00F77CFB"/>
    <w:rsid w:val="00F8683A"/>
    <w:rsid w:val="00F91CFA"/>
    <w:rsid w:val="00F9568D"/>
    <w:rsid w:val="00F95E0D"/>
    <w:rsid w:val="00F96078"/>
    <w:rsid w:val="00F96D33"/>
    <w:rsid w:val="00F977B2"/>
    <w:rsid w:val="00FA668C"/>
    <w:rsid w:val="00FA6D0E"/>
    <w:rsid w:val="00FB0C8A"/>
    <w:rsid w:val="00FC1327"/>
    <w:rsid w:val="00FC20F6"/>
    <w:rsid w:val="00FD0A09"/>
    <w:rsid w:val="00FD0DD5"/>
    <w:rsid w:val="00FD2BD2"/>
    <w:rsid w:val="00FD4510"/>
    <w:rsid w:val="00FD45E6"/>
    <w:rsid w:val="00FD7222"/>
    <w:rsid w:val="00FE3A73"/>
    <w:rsid w:val="00FE3F18"/>
    <w:rsid w:val="00FE4722"/>
    <w:rsid w:val="00FE547B"/>
    <w:rsid w:val="00FE60AD"/>
    <w:rsid w:val="00FF4EF0"/>
    <w:rsid w:val="011D4AC2"/>
    <w:rsid w:val="0341C2B4"/>
    <w:rsid w:val="090A01CB"/>
    <w:rsid w:val="09FF8A38"/>
    <w:rsid w:val="0C0E7EE0"/>
    <w:rsid w:val="0F2E7815"/>
    <w:rsid w:val="11BD21B3"/>
    <w:rsid w:val="15636371"/>
    <w:rsid w:val="17716834"/>
    <w:rsid w:val="209A81AC"/>
    <w:rsid w:val="226D8F55"/>
    <w:rsid w:val="2EB2CDBB"/>
    <w:rsid w:val="300773AE"/>
    <w:rsid w:val="31592D61"/>
    <w:rsid w:val="34D2D46E"/>
    <w:rsid w:val="3674E544"/>
    <w:rsid w:val="38B343DC"/>
    <w:rsid w:val="3B21910D"/>
    <w:rsid w:val="3C981AAB"/>
    <w:rsid w:val="3E245942"/>
    <w:rsid w:val="3F7AC4D1"/>
    <w:rsid w:val="407BB23F"/>
    <w:rsid w:val="414B01D3"/>
    <w:rsid w:val="4238EA41"/>
    <w:rsid w:val="45FB66D9"/>
    <w:rsid w:val="462C916C"/>
    <w:rsid w:val="4746C319"/>
    <w:rsid w:val="49CC2D22"/>
    <w:rsid w:val="4C15CEE9"/>
    <w:rsid w:val="4C98C5E1"/>
    <w:rsid w:val="4E31A219"/>
    <w:rsid w:val="50918334"/>
    <w:rsid w:val="52A8C60D"/>
    <w:rsid w:val="5308F2A4"/>
    <w:rsid w:val="55A5184A"/>
    <w:rsid w:val="57E0865A"/>
    <w:rsid w:val="5892C25B"/>
    <w:rsid w:val="58C70585"/>
    <w:rsid w:val="6159E62D"/>
    <w:rsid w:val="6227910D"/>
    <w:rsid w:val="62FFA3FB"/>
    <w:rsid w:val="6340F17A"/>
    <w:rsid w:val="658BF06B"/>
    <w:rsid w:val="66CFA759"/>
    <w:rsid w:val="6742D7AC"/>
    <w:rsid w:val="6832E511"/>
    <w:rsid w:val="68DB8C6A"/>
    <w:rsid w:val="6ABD94BB"/>
    <w:rsid w:val="6C84A3DA"/>
    <w:rsid w:val="6D376B89"/>
    <w:rsid w:val="6F307234"/>
    <w:rsid w:val="70F457F6"/>
    <w:rsid w:val="75F7CC96"/>
    <w:rsid w:val="76E05568"/>
    <w:rsid w:val="775116EE"/>
    <w:rsid w:val="79331925"/>
    <w:rsid w:val="7A3C5CCE"/>
    <w:rsid w:val="7DD188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1D757"/>
  <w15:chartTrackingRefBased/>
  <w15:docId w15:val="{3E1C425C-51D1-44AF-AF6C-D4637FEE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7A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C0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B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B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B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B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BD5"/>
    <w:rPr>
      <w:rFonts w:eastAsiaTheme="majorEastAsia" w:cstheme="majorBidi"/>
      <w:color w:val="272727" w:themeColor="text1" w:themeTint="D8"/>
    </w:rPr>
  </w:style>
  <w:style w:type="paragraph" w:styleId="Title">
    <w:name w:val="Title"/>
    <w:basedOn w:val="Normal"/>
    <w:next w:val="Normal"/>
    <w:link w:val="TitleChar"/>
    <w:uiPriority w:val="10"/>
    <w:qFormat/>
    <w:rsid w:val="000C0B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B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B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0BD5"/>
    <w:rPr>
      <w:i/>
      <w:iCs/>
      <w:color w:val="404040" w:themeColor="text1" w:themeTint="BF"/>
    </w:rPr>
  </w:style>
  <w:style w:type="paragraph" w:styleId="ListParagraph">
    <w:name w:val="List Paragraph"/>
    <w:basedOn w:val="Normal"/>
    <w:uiPriority w:val="34"/>
    <w:qFormat/>
    <w:rsid w:val="000C0BD5"/>
    <w:pPr>
      <w:ind w:left="720"/>
      <w:contextualSpacing/>
    </w:pPr>
  </w:style>
  <w:style w:type="character" w:styleId="IntenseEmphasis">
    <w:name w:val="Intense Emphasis"/>
    <w:basedOn w:val="DefaultParagraphFont"/>
    <w:uiPriority w:val="21"/>
    <w:qFormat/>
    <w:rsid w:val="000C0BD5"/>
    <w:rPr>
      <w:i/>
      <w:iCs/>
      <w:color w:val="0F4761" w:themeColor="accent1" w:themeShade="BF"/>
    </w:rPr>
  </w:style>
  <w:style w:type="paragraph" w:styleId="IntenseQuote">
    <w:name w:val="Intense Quote"/>
    <w:basedOn w:val="Normal"/>
    <w:next w:val="Normal"/>
    <w:link w:val="IntenseQuoteChar"/>
    <w:uiPriority w:val="30"/>
    <w:qFormat/>
    <w:rsid w:val="000C0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BD5"/>
    <w:rPr>
      <w:i/>
      <w:iCs/>
      <w:color w:val="0F4761" w:themeColor="accent1" w:themeShade="BF"/>
    </w:rPr>
  </w:style>
  <w:style w:type="character" w:styleId="IntenseReference">
    <w:name w:val="Intense Reference"/>
    <w:basedOn w:val="DefaultParagraphFont"/>
    <w:uiPriority w:val="32"/>
    <w:qFormat/>
    <w:rsid w:val="000C0BD5"/>
    <w:rPr>
      <w:b/>
      <w:bCs/>
      <w:smallCaps/>
      <w:color w:val="0F4761" w:themeColor="accent1" w:themeShade="BF"/>
      <w:spacing w:val="5"/>
    </w:rPr>
  </w:style>
  <w:style w:type="table" w:styleId="TableGrid">
    <w:name w:val="Table Grid"/>
    <w:basedOn w:val="TableNormal"/>
    <w:uiPriority w:val="39"/>
    <w:rsid w:val="000C0BD5"/>
    <w:rPr>
      <w:rFonts w:ascii="Times New Roman" w:eastAsia="Times New Roman" w:hAnsi="Times New Roman" w:cs="Times New Roman"/>
      <w:kern w:val="0"/>
      <w:sz w:val="20"/>
      <w:szCs w:val="20"/>
      <w14:ligatures w14:val="none"/>
    </w:rPr>
    <w:tblPr>
      <w:tblInd w:w="0" w:type="nil"/>
      <w:tblCellMar>
        <w:left w:w="0" w:type="dxa"/>
        <w:right w:w="0" w:type="dxa"/>
      </w:tblCellMar>
    </w:tblPr>
  </w:style>
  <w:style w:type="character" w:styleId="Hyperlink">
    <w:name w:val="Hyperlink"/>
    <w:basedOn w:val="DefaultParagraphFont"/>
    <w:uiPriority w:val="99"/>
    <w:unhideWhenUsed/>
    <w:rsid w:val="000C0BD5"/>
    <w:rPr>
      <w:color w:val="467886" w:themeColor="hyperlink"/>
      <w:u w:val="single"/>
    </w:rPr>
  </w:style>
  <w:style w:type="paragraph" w:customStyle="1" w:styleId="Default">
    <w:name w:val="Default"/>
    <w:rsid w:val="000C0BD5"/>
    <w:pPr>
      <w:autoSpaceDE w:val="0"/>
      <w:autoSpaceDN w:val="0"/>
      <w:adjustRightInd w:val="0"/>
    </w:pPr>
    <w:rPr>
      <w:rFonts w:ascii="Times New Roman" w:hAnsi="Times New Roman" w:cs="Times New Roman"/>
      <w:color w:val="000000"/>
      <w:kern w:val="0"/>
      <w14:ligatures w14:val="none"/>
    </w:rPr>
  </w:style>
  <w:style w:type="paragraph" w:styleId="BodyText">
    <w:name w:val="Body Text"/>
    <w:basedOn w:val="Normal"/>
    <w:link w:val="BodyTextChar"/>
    <w:uiPriority w:val="1"/>
    <w:qFormat/>
    <w:rsid w:val="00572F6D"/>
    <w:pPr>
      <w:widowControl w:val="0"/>
      <w:autoSpaceDE w:val="0"/>
      <w:autoSpaceDN w:val="0"/>
      <w:ind w:left="104"/>
    </w:pPr>
    <w:rPr>
      <w:rFonts w:ascii="Geneva" w:eastAsia="Geneva" w:hAnsi="Geneva" w:cs="Geneva"/>
    </w:rPr>
  </w:style>
  <w:style w:type="character" w:customStyle="1" w:styleId="BodyTextChar">
    <w:name w:val="Body Text Char"/>
    <w:basedOn w:val="DefaultParagraphFont"/>
    <w:link w:val="BodyText"/>
    <w:uiPriority w:val="1"/>
    <w:rsid w:val="00572F6D"/>
    <w:rPr>
      <w:rFonts w:ascii="Geneva" w:eastAsia="Geneva" w:hAnsi="Geneva" w:cs="Geneva"/>
      <w:kern w:val="0"/>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71103"/>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816BCA"/>
    <w:rPr>
      <w:b/>
      <w:bCs/>
    </w:rPr>
  </w:style>
  <w:style w:type="character" w:customStyle="1" w:styleId="CommentSubjectChar">
    <w:name w:val="Comment Subject Char"/>
    <w:basedOn w:val="CommentTextChar"/>
    <w:link w:val="CommentSubject"/>
    <w:uiPriority w:val="99"/>
    <w:semiHidden/>
    <w:rsid w:val="00816BCA"/>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904D9F"/>
    <w:rPr>
      <w:color w:val="96607D" w:themeColor="followedHyperlink"/>
      <w:u w:val="single"/>
    </w:rPr>
  </w:style>
  <w:style w:type="paragraph" w:styleId="Footer">
    <w:name w:val="footer"/>
    <w:basedOn w:val="Normal"/>
    <w:link w:val="FooterChar"/>
    <w:uiPriority w:val="99"/>
    <w:unhideWhenUsed/>
    <w:rsid w:val="004A044A"/>
    <w:pPr>
      <w:tabs>
        <w:tab w:val="center" w:pos="4680"/>
        <w:tab w:val="right" w:pos="9360"/>
      </w:tabs>
    </w:pPr>
  </w:style>
  <w:style w:type="character" w:customStyle="1" w:styleId="FooterChar">
    <w:name w:val="Footer Char"/>
    <w:basedOn w:val="DefaultParagraphFont"/>
    <w:link w:val="Footer"/>
    <w:uiPriority w:val="99"/>
    <w:rsid w:val="004A044A"/>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4A044A"/>
  </w:style>
  <w:style w:type="paragraph" w:styleId="Header">
    <w:name w:val="header"/>
    <w:basedOn w:val="Normal"/>
    <w:link w:val="HeaderChar"/>
    <w:uiPriority w:val="99"/>
    <w:semiHidden/>
    <w:unhideWhenUsed/>
    <w:rsid w:val="00903A99"/>
    <w:pPr>
      <w:tabs>
        <w:tab w:val="center" w:pos="4680"/>
        <w:tab w:val="right" w:pos="9360"/>
      </w:tabs>
    </w:pPr>
  </w:style>
  <w:style w:type="character" w:customStyle="1" w:styleId="HeaderChar">
    <w:name w:val="Header Char"/>
    <w:basedOn w:val="DefaultParagraphFont"/>
    <w:link w:val="Header"/>
    <w:uiPriority w:val="99"/>
    <w:semiHidden/>
    <w:rsid w:val="00903A9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6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ies.iu.edu/policies/bot-15-code-academic-ethics/index.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olicies.iu.edu/policies/bot-24-post-tenure-faculty/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f5a5fe-ae22-4aaa-8370-94f8ffab2dda" xsi:nil="true"/>
    <lcf76f155ced4ddcb4097134ff3c332f xmlns="fd7edfb0-6154-4616-8b8f-a20fe8898477">
      <Terms xmlns="http://schemas.microsoft.com/office/infopath/2007/PartnerControls"/>
    </lcf76f155ced4ddcb4097134ff3c332f>
    <DateandTime xmlns="fd7edfb0-6154-4616-8b8f-a20fe8898477" xsi:nil="true"/>
    <_Flow_SignoffStatus xmlns="fd7edfb0-6154-4616-8b8f-a20fe88984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86A33783FEF41B00E7AAD2916BE04" ma:contentTypeVersion="19" ma:contentTypeDescription="Create a new document." ma:contentTypeScope="" ma:versionID="6341d41fde2848afe26b2b25d5158a80">
  <xsd:schema xmlns:xsd="http://www.w3.org/2001/XMLSchema" xmlns:xs="http://www.w3.org/2001/XMLSchema" xmlns:p="http://schemas.microsoft.com/office/2006/metadata/properties" xmlns:ns2="fd7edfb0-6154-4616-8b8f-a20fe8898477" xmlns:ns3="fcf5a5fe-ae22-4aaa-8370-94f8ffab2dda" targetNamespace="http://schemas.microsoft.com/office/2006/metadata/properties" ma:root="true" ma:fieldsID="18630637b39b6934e410005e0dfe6eee" ns2:_="" ns3:_="">
    <xsd:import namespace="fd7edfb0-6154-4616-8b8f-a20fe8898477"/>
    <xsd:import namespace="fcf5a5fe-ae22-4aaa-8370-94f8ffab2d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_Flow_SignoffStatu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edfb0-6154-4616-8b8f-a20fe8898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DateandTime" ma:index="25" nillable="true" ma:displayName="Date and Time" ma:format="DateTime" ma:internalName="DateandTim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5a5fe-ae22-4aaa-8370-94f8ffab2d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61db71-da08-4b5d-98c4-df33ee118c4b}" ma:internalName="TaxCatchAll" ma:showField="CatchAllData" ma:web="fcf5a5fe-ae22-4aaa-8370-94f8ffab2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5DCCE-1370-45E1-B54A-89C3E26E28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FD262A-A5A8-48CD-97E4-4C4217E35AA0}">
  <ds:schemaRefs>
    <ds:schemaRef ds:uri="http://schemas.microsoft.com/sharepoint/v3/contenttype/forms"/>
  </ds:schemaRefs>
</ds:datastoreItem>
</file>

<file path=customXml/itemProps3.xml><?xml version="1.0" encoding="utf-8"?>
<ds:datastoreItem xmlns:ds="http://schemas.openxmlformats.org/officeDocument/2006/customXml" ds:itemID="{A4939CB3-C532-40D4-9637-FE58A78C1531}"/>
</file>

<file path=docProps/app.xml><?xml version="1.0" encoding="utf-8"?>
<Properties xmlns="http://schemas.openxmlformats.org/officeDocument/2006/extended-properties" xmlns:vt="http://schemas.openxmlformats.org/officeDocument/2006/docPropsVTypes">
  <Template>Normal.dotm</Template>
  <TotalTime>242</TotalTime>
  <Pages>5</Pages>
  <Words>2246</Words>
  <Characters>12804</Characters>
  <Application>Microsoft Office Word</Application>
  <DocSecurity>0</DocSecurity>
  <Lines>106</Lines>
  <Paragraphs>30</Paragraphs>
  <ScaleCrop>false</ScaleCrop>
  <Company/>
  <LinksUpToDate>false</LinksUpToDate>
  <CharactersWithSpaces>15020</CharactersWithSpaces>
  <SharedDoc>false</SharedDoc>
  <HLinks>
    <vt:vector size="12" baseType="variant">
      <vt:variant>
        <vt:i4>2228320</vt:i4>
      </vt:variant>
      <vt:variant>
        <vt:i4>3</vt:i4>
      </vt:variant>
      <vt:variant>
        <vt:i4>0</vt:i4>
      </vt:variant>
      <vt:variant>
        <vt:i4>5</vt:i4>
      </vt:variant>
      <vt:variant>
        <vt:lpwstr>https://policies.iu.edu/policies/bot-15-code-academic-ethics/index.html</vt:lpwstr>
      </vt:variant>
      <vt:variant>
        <vt:lpwstr/>
      </vt:variant>
      <vt:variant>
        <vt:i4>3670121</vt:i4>
      </vt:variant>
      <vt:variant>
        <vt:i4>0</vt:i4>
      </vt:variant>
      <vt:variant>
        <vt:i4>0</vt:i4>
      </vt:variant>
      <vt:variant>
        <vt:i4>5</vt:i4>
      </vt:variant>
      <vt:variant>
        <vt:lpwstr>https://policies.iu.edu/policies/bot-24-post-tenure-faculty/index.html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Upton, Thomas</dc:creator>
  <cp:keywords/>
  <dc:description/>
  <cp:lastModifiedBy>Upton, Thomas</cp:lastModifiedBy>
  <cp:revision>490</cp:revision>
  <cp:lastPrinted>2025-10-31T16:48:00Z</cp:lastPrinted>
  <dcterms:created xsi:type="dcterms:W3CDTF">2025-06-11T23:29:00Z</dcterms:created>
  <dcterms:modified xsi:type="dcterms:W3CDTF">2025-10-31T17:38:00Z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0x010100B0D86A33783FEF41B00E7AAD2916BE04</vt:lpwstr>
  </property>
  <property fmtid="{D5CDD505-2E9C-101B-9397-08002B2CF9AE}" pid="3" name="MediaServiceImageTags">
    <vt:lpwstr/>
  </property>
  <property fmtid="{D5CDD505-2E9C-101B-9397-08002B2CF9AE}" pid="4" name="Order">
    <vt:r8>1599300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